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ind w:firstLine="2530" w:firstLineChars="700"/>
        <w:jc w:val="left"/>
        <w:textAlignment w:val="auto"/>
        <w:rPr>
          <w:rFonts w:hint="default" w:asciiTheme="minorEastAsia" w:hAnsiTheme="minorEastAsia" w:eastAsiaTheme="minorEastAsia" w:cstheme="minorEastAsia"/>
          <w:b/>
          <w:sz w:val="36"/>
          <w:szCs w:val="36"/>
          <w:lang w:val="en-US" w:eastAsia="zh-CN"/>
        </w:rPr>
      </w:pPr>
      <w:r>
        <w:rPr>
          <w:rFonts w:hint="eastAsia" w:asciiTheme="minorEastAsia" w:hAnsiTheme="minorEastAsia" w:cstheme="minorEastAsia"/>
          <w:b/>
          <w:sz w:val="36"/>
          <w:szCs w:val="36"/>
          <w:lang w:val="en-US" w:eastAsia="zh-CN"/>
        </w:rPr>
        <w:t>工程部安全管理和操作规程</w:t>
      </w:r>
    </w:p>
    <w:p>
      <w:pPr>
        <w:keepNext w:val="0"/>
        <w:keepLines w:val="0"/>
        <w:pageBreakBefore w:val="0"/>
        <w:widowControl w:val="0"/>
        <w:kinsoku/>
        <w:wordWrap/>
        <w:overflowPunct/>
        <w:topLinePunct w:val="0"/>
        <w:autoSpaceDE/>
        <w:autoSpaceDN/>
        <w:bidi w:val="0"/>
        <w:adjustRightInd/>
        <w:snapToGrid/>
        <w:spacing w:line="480" w:lineRule="exact"/>
        <w:ind w:firstLine="3614" w:firstLineChars="1200"/>
        <w:jc w:val="left"/>
        <w:textAlignment w:val="auto"/>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工程施工管理规程</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一、现场围档</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一）</w:t>
      </w:r>
      <w:r>
        <w:rPr>
          <w:rFonts w:hint="eastAsia" w:asciiTheme="minorEastAsia" w:hAnsiTheme="minorEastAsia" w:eastAsiaTheme="minorEastAsia" w:cstheme="minorEastAsia"/>
          <w:sz w:val="28"/>
          <w:szCs w:val="28"/>
        </w:rPr>
        <w:t>施工现场必须实行封闭式施工，沿工地四周连续设置围档，围档材料要求坚固、稳定、统一、整洁、美观。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二）</w:t>
      </w:r>
      <w:r>
        <w:rPr>
          <w:rFonts w:hint="eastAsia" w:asciiTheme="minorEastAsia" w:hAnsiTheme="minorEastAsia" w:eastAsiaTheme="minorEastAsia" w:cstheme="minorEastAsia"/>
          <w:sz w:val="28"/>
          <w:szCs w:val="28"/>
        </w:rPr>
        <w:t>校区内主要路段和其它涉及校园景观路段的工地设置围档，高度不低于 2.5m</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其它工地的围档高度不低于1.8m。</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二、封闭管理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一）</w:t>
      </w:r>
      <w:r>
        <w:rPr>
          <w:rFonts w:hint="eastAsia" w:asciiTheme="minorEastAsia" w:hAnsiTheme="minorEastAsia" w:eastAsiaTheme="minorEastAsia" w:cstheme="minorEastAsia"/>
          <w:sz w:val="28"/>
          <w:szCs w:val="28"/>
        </w:rPr>
        <w:t>施工现场必须实行封闭管理，与维修及施工无关的人员禁止进入工作现场。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二）</w:t>
      </w:r>
      <w:r>
        <w:rPr>
          <w:rFonts w:hint="eastAsia" w:asciiTheme="minorEastAsia" w:hAnsiTheme="minorEastAsia" w:eastAsiaTheme="minorEastAsia" w:cstheme="minorEastAsia"/>
          <w:sz w:val="28"/>
          <w:szCs w:val="28"/>
        </w:rPr>
        <w:t>进入施工现场,所有工作人员必须佩带相应的安全防护用具。</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三、施工场地</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一）</w:t>
      </w:r>
      <w:r>
        <w:rPr>
          <w:rFonts w:hint="eastAsia" w:asciiTheme="minorEastAsia" w:hAnsiTheme="minorEastAsia" w:eastAsiaTheme="minorEastAsia" w:cstheme="minorEastAsia"/>
          <w:sz w:val="28"/>
          <w:szCs w:val="28"/>
        </w:rPr>
        <w:t>维修及施工现场应尽量保持道路畅通、平坦、无散落物。</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二）</w:t>
      </w:r>
      <w:r>
        <w:rPr>
          <w:rFonts w:hint="eastAsia" w:asciiTheme="minorEastAsia" w:hAnsiTheme="minorEastAsia" w:eastAsiaTheme="minorEastAsia" w:cstheme="minorEastAsia"/>
          <w:sz w:val="28"/>
          <w:szCs w:val="28"/>
        </w:rPr>
        <w:t>严禁泥浆、污水、废水外流或堵塞下水道和排入河道。</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三）</w:t>
      </w:r>
      <w:r>
        <w:rPr>
          <w:rFonts w:hint="eastAsia" w:asciiTheme="minorEastAsia" w:hAnsiTheme="minorEastAsia" w:eastAsiaTheme="minorEastAsia" w:cstheme="minorEastAsia"/>
          <w:sz w:val="28"/>
          <w:szCs w:val="28"/>
        </w:rPr>
        <w:t>在施工现场适当地方设置吸烟处,作业区内禁止吸烟。</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四）</w:t>
      </w:r>
      <w:r>
        <w:rPr>
          <w:rFonts w:hint="eastAsia" w:asciiTheme="minorEastAsia" w:hAnsiTheme="minorEastAsia" w:eastAsiaTheme="minorEastAsia" w:cstheme="minorEastAsia"/>
          <w:sz w:val="28"/>
          <w:szCs w:val="28"/>
        </w:rPr>
        <w:t>积极美化施工现场环境,根据季节变化,适当进行绿化布置。</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四、材料堆放</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一）</w:t>
      </w:r>
      <w:r>
        <w:rPr>
          <w:rFonts w:hint="eastAsia" w:asciiTheme="minorEastAsia" w:hAnsiTheme="minorEastAsia" w:eastAsiaTheme="minorEastAsia" w:cstheme="minorEastAsia"/>
          <w:sz w:val="28"/>
          <w:szCs w:val="28"/>
        </w:rPr>
        <w:t>建筑材料、构件、机具必须按施工现场布置堆放，布置合理。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二）</w:t>
      </w:r>
      <w:r>
        <w:rPr>
          <w:rFonts w:hint="eastAsia" w:asciiTheme="minorEastAsia" w:hAnsiTheme="minorEastAsia" w:eastAsiaTheme="minorEastAsia" w:cstheme="minorEastAsia"/>
          <w:sz w:val="28"/>
          <w:szCs w:val="28"/>
        </w:rPr>
        <w:t>建筑材料、构配件及其他机具等必须做到安全、整齐堆放(存放)，不得超高；堆料应分门别类和品种。。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三）</w:t>
      </w:r>
      <w:r>
        <w:rPr>
          <w:rFonts w:hint="eastAsia" w:asciiTheme="minorEastAsia" w:hAnsiTheme="minorEastAsia" w:eastAsiaTheme="minorEastAsia" w:cstheme="minorEastAsia"/>
          <w:sz w:val="28"/>
          <w:szCs w:val="28"/>
        </w:rPr>
        <w:t>建立材料收发管理制度。仓库、工具间材料堆放整齐,易燃易爆物品分类堆放,专人负责,确保安全。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四）</w:t>
      </w:r>
      <w:r>
        <w:rPr>
          <w:rFonts w:hint="eastAsia" w:asciiTheme="minorEastAsia" w:hAnsiTheme="minorEastAsia" w:eastAsiaTheme="minorEastAsia" w:cstheme="minorEastAsia"/>
          <w:sz w:val="28"/>
          <w:szCs w:val="28"/>
        </w:rPr>
        <w:t>维修及施工现场建立清扫制度,落实到人,做到工完料尽场地清。建筑垃圾及时清理,临时存放现场的也应集中堆放整齐,不用施工机具和设备及时出场。</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Theme="minorEastAsia" w:hAnsiTheme="minorEastAsia" w:eastAsiaTheme="minorEastAsia" w:cstheme="minorEastAsia"/>
          <w:b/>
          <w:sz w:val="28"/>
          <w:szCs w:val="28"/>
        </w:rPr>
      </w:pPr>
      <w:r>
        <w:rPr>
          <w:rFonts w:hint="eastAsia" w:asciiTheme="minorEastAsia" w:hAnsiTheme="minorEastAsia" w:cstheme="minorEastAsia"/>
          <w:b/>
          <w:sz w:val="28"/>
          <w:szCs w:val="28"/>
          <w:lang w:val="en-US" w:eastAsia="zh-CN"/>
        </w:rPr>
        <w:t>五</w:t>
      </w:r>
      <w:r>
        <w:rPr>
          <w:rFonts w:hint="eastAsia" w:asciiTheme="minorEastAsia" w:hAnsiTheme="minorEastAsia" w:eastAsiaTheme="minorEastAsia" w:cstheme="minorEastAsia"/>
          <w:b/>
          <w:sz w:val="28"/>
          <w:szCs w:val="28"/>
        </w:rPr>
        <w:t>、现场防火</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一）</w:t>
      </w:r>
      <w:r>
        <w:rPr>
          <w:rFonts w:hint="eastAsia" w:asciiTheme="minorEastAsia" w:hAnsiTheme="minorEastAsia" w:eastAsiaTheme="minorEastAsia" w:cstheme="minorEastAsia"/>
          <w:sz w:val="28"/>
          <w:szCs w:val="28"/>
        </w:rPr>
        <w:t>维修及施工现场必须严格遵守消防防火管理制度,根据情况，配备足够、合适的消防器材。</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二）</w:t>
      </w:r>
      <w:r>
        <w:rPr>
          <w:rFonts w:hint="eastAsia" w:asciiTheme="minorEastAsia" w:hAnsiTheme="minorEastAsia" w:eastAsiaTheme="minorEastAsia" w:cstheme="minorEastAsia"/>
          <w:sz w:val="28"/>
          <w:szCs w:val="28"/>
        </w:rPr>
        <w:t>现场动用明火必须小心谨慎。</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三）</w:t>
      </w:r>
      <w:r>
        <w:rPr>
          <w:rFonts w:hint="eastAsia" w:asciiTheme="minorEastAsia" w:hAnsiTheme="minorEastAsia" w:eastAsiaTheme="minorEastAsia" w:cstheme="minorEastAsia"/>
          <w:sz w:val="28"/>
          <w:szCs w:val="28"/>
        </w:rPr>
        <w:t>易燃易爆物品堆放间、木工间、油漆间等防火重点部位要采取必要的消防安全措施。</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Theme="minorEastAsia" w:hAnsiTheme="minorEastAsia" w:eastAsiaTheme="minorEastAsia" w:cstheme="minorEastAsia"/>
          <w:b/>
          <w:sz w:val="28"/>
          <w:szCs w:val="28"/>
        </w:rPr>
      </w:pPr>
      <w:r>
        <w:rPr>
          <w:rFonts w:hint="eastAsia" w:asciiTheme="minorEastAsia" w:hAnsiTheme="minorEastAsia" w:cstheme="minorEastAsia"/>
          <w:b/>
          <w:sz w:val="28"/>
          <w:szCs w:val="28"/>
          <w:lang w:val="en-US" w:eastAsia="zh-CN"/>
        </w:rPr>
        <w:t>六</w:t>
      </w:r>
      <w:r>
        <w:rPr>
          <w:rFonts w:hint="eastAsia" w:asciiTheme="minorEastAsia" w:hAnsiTheme="minorEastAsia" w:eastAsiaTheme="minorEastAsia" w:cstheme="minorEastAsia"/>
          <w:b/>
          <w:sz w:val="28"/>
          <w:szCs w:val="28"/>
        </w:rPr>
        <w:t>、治安综合治理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维修及施工现场应抓好治安管理工作</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严防盗窃、斗殴、赌博事件发生。</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Theme="minorEastAsia" w:hAnsiTheme="minorEastAsia" w:eastAsiaTheme="minorEastAsia" w:cstheme="minorEastAsia"/>
          <w:b/>
          <w:sz w:val="28"/>
          <w:szCs w:val="28"/>
        </w:rPr>
      </w:pPr>
      <w:r>
        <w:rPr>
          <w:rFonts w:hint="eastAsia" w:asciiTheme="minorEastAsia" w:hAnsiTheme="minorEastAsia" w:cstheme="minorEastAsia"/>
          <w:b/>
          <w:sz w:val="28"/>
          <w:szCs w:val="28"/>
          <w:lang w:val="en-US" w:eastAsia="zh-CN"/>
        </w:rPr>
        <w:t>七</w:t>
      </w:r>
      <w:r>
        <w:rPr>
          <w:rFonts w:hint="eastAsia" w:asciiTheme="minorEastAsia" w:hAnsiTheme="minorEastAsia" w:eastAsiaTheme="minorEastAsia" w:cstheme="minorEastAsia"/>
          <w:b/>
          <w:sz w:val="28"/>
          <w:szCs w:val="28"/>
        </w:rPr>
        <w:t>、施工现场标牌及安全防护措施</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一）</w:t>
      </w:r>
      <w:r>
        <w:rPr>
          <w:rFonts w:hint="eastAsia" w:asciiTheme="minorEastAsia" w:hAnsiTheme="minorEastAsia" w:eastAsiaTheme="minorEastAsia" w:cstheme="minorEastAsia"/>
          <w:sz w:val="28"/>
          <w:szCs w:val="28"/>
        </w:rPr>
        <w:t>维修及施工现场应合理悬挂安全警示牌</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标牌悬挂牢固可靠</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特别是主要施工部位、作业点、区域必须有针对性地悬挂目的安全警示牌。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二）</w:t>
      </w:r>
      <w:r>
        <w:rPr>
          <w:rFonts w:hint="eastAsia" w:asciiTheme="minorEastAsia" w:hAnsiTheme="minorEastAsia" w:eastAsiaTheme="minorEastAsia" w:cstheme="minorEastAsia"/>
          <w:sz w:val="28"/>
          <w:szCs w:val="28"/>
        </w:rPr>
        <w:t>维修及施工现场工作人员应严格按照国家规定安全措施进行操作</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操作要规范。必要时应根据情况合理设置安全责任人，应适时定期检查安全隐患，定期督察维修及施工人员安全防护用具的佩戴情况。</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Theme="minorEastAsia" w:hAnsiTheme="minorEastAsia" w:eastAsiaTheme="minorEastAsia" w:cstheme="minorEastAsia"/>
          <w:b/>
          <w:sz w:val="28"/>
          <w:szCs w:val="28"/>
        </w:rPr>
      </w:pPr>
      <w:r>
        <w:rPr>
          <w:rFonts w:hint="eastAsia" w:asciiTheme="minorEastAsia" w:hAnsiTheme="minorEastAsia" w:cstheme="minorEastAsia"/>
          <w:b/>
          <w:sz w:val="28"/>
          <w:szCs w:val="28"/>
          <w:lang w:val="en-US" w:eastAsia="zh-CN"/>
        </w:rPr>
        <w:t>八、</w:t>
      </w:r>
      <w:r>
        <w:rPr>
          <w:rFonts w:hint="eastAsia" w:asciiTheme="minorEastAsia" w:hAnsiTheme="minorEastAsia" w:eastAsiaTheme="minorEastAsia" w:cstheme="minorEastAsia"/>
          <w:b/>
          <w:sz w:val="28"/>
          <w:szCs w:val="28"/>
        </w:rPr>
        <w:t>生活区施工</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维修及施工现场位于学校生活区或学生公寓区时，应注意：</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一）</w:t>
      </w:r>
      <w:r>
        <w:rPr>
          <w:rFonts w:hint="eastAsia" w:asciiTheme="minorEastAsia" w:hAnsiTheme="minorEastAsia" w:eastAsiaTheme="minorEastAsia" w:cstheme="minorEastAsia"/>
          <w:sz w:val="28"/>
          <w:szCs w:val="28"/>
        </w:rPr>
        <w:t>遵守国家有关劳动和环境保护的法律法规</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有效地控制粉尘、噪声、固体废弃物、泥浆、强光等对环境污染和危害。</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二）</w:t>
      </w:r>
      <w:r>
        <w:rPr>
          <w:rFonts w:hint="eastAsia" w:asciiTheme="minorEastAsia" w:hAnsiTheme="minorEastAsia" w:eastAsiaTheme="minorEastAsia" w:cstheme="minorEastAsia"/>
          <w:sz w:val="28"/>
          <w:szCs w:val="28"/>
        </w:rPr>
        <w:t>制定、落实不扰民措施。</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三）</w:t>
      </w:r>
      <w:r>
        <w:rPr>
          <w:rFonts w:hint="eastAsia" w:asciiTheme="minorEastAsia" w:hAnsiTheme="minorEastAsia" w:eastAsiaTheme="minorEastAsia" w:cstheme="minorEastAsia"/>
          <w:sz w:val="28"/>
          <w:szCs w:val="28"/>
        </w:rPr>
        <w:t>施工现场禁止焚烧有毒、有害物质。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四）</w:t>
      </w:r>
      <w:r>
        <w:rPr>
          <w:rFonts w:hint="eastAsia" w:asciiTheme="minorEastAsia" w:hAnsiTheme="minorEastAsia" w:eastAsiaTheme="minorEastAsia" w:cstheme="minorEastAsia"/>
          <w:sz w:val="28"/>
          <w:szCs w:val="28"/>
        </w:rPr>
        <w:t>夜间施工应按规定操作，尽量减少噪音。</w:t>
      </w:r>
    </w:p>
    <w:p>
      <w:pPr>
        <w:keepNext w:val="0"/>
        <w:keepLines w:val="0"/>
        <w:pageBreakBefore w:val="0"/>
        <w:widowControl w:val="0"/>
        <w:kinsoku/>
        <w:wordWrap/>
        <w:overflowPunct/>
        <w:topLinePunct w:val="0"/>
        <w:autoSpaceDE/>
        <w:autoSpaceDN/>
        <w:bidi w:val="0"/>
        <w:adjustRightInd/>
        <w:snapToGrid/>
        <w:spacing w:line="480" w:lineRule="exact"/>
        <w:ind w:firstLine="3012" w:firstLineChars="1000"/>
        <w:jc w:val="left"/>
        <w:textAlignment w:val="auto"/>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专项工程材料管理规程</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一、</w:t>
      </w:r>
      <w:r>
        <w:rPr>
          <w:rFonts w:hint="eastAsia" w:asciiTheme="minorEastAsia" w:hAnsiTheme="minorEastAsia" w:eastAsiaTheme="minorEastAsia" w:cstheme="minorEastAsia"/>
          <w:sz w:val="28"/>
          <w:szCs w:val="28"/>
        </w:rPr>
        <w:t>中心各类专项工程施工前，施工人员需根据施工图纸或维修施工现场情况编制工程预算，并分类核算所需工程材料数量，提报材料计划表。施工管理部门主管审核确认后，报分管主任、主任签字批准。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二、</w:t>
      </w:r>
      <w:r>
        <w:rPr>
          <w:rFonts w:hint="eastAsia" w:asciiTheme="minorEastAsia" w:hAnsiTheme="minorEastAsia" w:eastAsiaTheme="minorEastAsia" w:cstheme="minorEastAsia"/>
          <w:sz w:val="28"/>
          <w:szCs w:val="28"/>
        </w:rPr>
        <w:t>施工管理部门将批准后的材料计划表报综合部采购。</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三、</w:t>
      </w:r>
      <w:r>
        <w:rPr>
          <w:rFonts w:hint="eastAsia" w:asciiTheme="minorEastAsia" w:hAnsiTheme="minorEastAsia" w:eastAsiaTheme="minorEastAsia" w:cstheme="minorEastAsia"/>
          <w:sz w:val="28"/>
          <w:szCs w:val="28"/>
        </w:rPr>
        <w:t>综合部按学校的有关规定组织材料采购或办理材料招标手续。主材在三万元以内的，会同审计处、后勤管理处工程科及有关施工人员市场考察、询价、采购；主材在三万元以上，报学校招标办进行招标采购。</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四、</w:t>
      </w:r>
      <w:r>
        <w:rPr>
          <w:rFonts w:hint="eastAsia" w:asciiTheme="minorEastAsia" w:hAnsiTheme="minorEastAsia" w:eastAsiaTheme="minorEastAsia" w:cstheme="minorEastAsia"/>
          <w:sz w:val="28"/>
          <w:szCs w:val="28"/>
        </w:rPr>
        <w:t>综合部建立专项工程材料帐簿。材料入库后，综合部按专项工程名称、立项编号记账，并将招标结果确认书、供货合同及材料发票复印件保存用于工程结算。</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五、</w:t>
      </w:r>
      <w:r>
        <w:rPr>
          <w:rFonts w:hint="eastAsia" w:asciiTheme="minorEastAsia" w:hAnsiTheme="minorEastAsia" w:eastAsiaTheme="minorEastAsia" w:cstheme="minorEastAsia"/>
          <w:sz w:val="28"/>
          <w:szCs w:val="28"/>
        </w:rPr>
        <w:t>领取材料必须由施工管理部门填写专项工程材料领料单。领料单要注明工程名称、立项编号，施工单位领料人、施工管理部门主管和项目负责人签字后，到综合部领取材料。</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六、</w:t>
      </w:r>
      <w:r>
        <w:rPr>
          <w:rFonts w:hint="eastAsia" w:asciiTheme="minorEastAsia" w:hAnsiTheme="minorEastAsia" w:eastAsiaTheme="minorEastAsia" w:cstheme="minorEastAsia"/>
          <w:sz w:val="28"/>
          <w:szCs w:val="28"/>
        </w:rPr>
        <w:t>施工管理部门要根据工程进度领取材料。材料领用后，要检查材料质量，监督材料的使用情况。剩余材料要及时回收并办理相关入库手续。</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七、</w:t>
      </w:r>
      <w:r>
        <w:rPr>
          <w:rFonts w:hint="eastAsia" w:asciiTheme="minorEastAsia" w:hAnsiTheme="minorEastAsia" w:eastAsiaTheme="minorEastAsia" w:cstheme="minorEastAsia"/>
          <w:sz w:val="28"/>
          <w:szCs w:val="28"/>
        </w:rPr>
        <w:t>施工管理部门要针对工程项目分类建立工程材料领料台帐。</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八、</w:t>
      </w:r>
      <w:r>
        <w:rPr>
          <w:rFonts w:hint="eastAsia" w:asciiTheme="minorEastAsia" w:hAnsiTheme="minorEastAsia" w:eastAsiaTheme="minorEastAsia" w:cstheme="minorEastAsia"/>
          <w:sz w:val="28"/>
          <w:szCs w:val="28"/>
        </w:rPr>
        <w:t>工程竣工后，施工管理部门应以工程项目为单位，依据领料单和剩余材料回收单，与综合部一次性办理材料出库单，以便财务核算。</w:t>
      </w:r>
    </w:p>
    <w:p>
      <w:pPr>
        <w:keepNext w:val="0"/>
        <w:keepLines w:val="0"/>
        <w:pageBreakBefore w:val="0"/>
        <w:widowControl w:val="0"/>
        <w:kinsoku/>
        <w:wordWrap/>
        <w:overflowPunct/>
        <w:topLinePunct w:val="0"/>
        <w:autoSpaceDE/>
        <w:autoSpaceDN/>
        <w:bidi w:val="0"/>
        <w:adjustRightInd/>
        <w:snapToGrid/>
        <w:spacing w:line="480" w:lineRule="exact"/>
        <w:ind w:right="23" w:firstLine="3012" w:firstLineChars="1000"/>
        <w:jc w:val="left"/>
        <w:textAlignment w:val="auto"/>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外协施工队伍管理规程</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一、总则</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一）</w:t>
      </w:r>
      <w:r>
        <w:rPr>
          <w:rFonts w:hint="eastAsia" w:asciiTheme="minorEastAsia" w:hAnsiTheme="minorEastAsia" w:eastAsiaTheme="minorEastAsia" w:cstheme="minorEastAsia"/>
          <w:sz w:val="28"/>
          <w:szCs w:val="28"/>
        </w:rPr>
        <w:t>为进一步加强中心专项工程管理和安全生产工作，规范外协施工队伍管理，确保专项工程施工质量，防止和减少生产安全事故，保障从业人员生命和财产的安全，维护学校的改革、发展和稳定，特制定本管理制度。</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二）</w:t>
      </w:r>
      <w:r>
        <w:rPr>
          <w:rFonts w:hint="eastAsia" w:asciiTheme="minorEastAsia" w:hAnsiTheme="minorEastAsia" w:eastAsiaTheme="minorEastAsia" w:cstheme="minorEastAsia"/>
          <w:sz w:val="28"/>
          <w:szCs w:val="28"/>
        </w:rPr>
        <w:t>本制度适应于中心水电运行部、热力部、东校区能源管理部（以下简称相关部门）承担学校专项工程、中心内部改造项目等所需外协施工队伍。</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二、外协施工队伍的确定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一）</w:t>
      </w:r>
      <w:r>
        <w:rPr>
          <w:rFonts w:hint="eastAsia" w:asciiTheme="minorEastAsia" w:hAnsiTheme="minorEastAsia" w:eastAsiaTheme="minorEastAsia" w:cstheme="minorEastAsia"/>
          <w:sz w:val="28"/>
          <w:szCs w:val="28"/>
        </w:rPr>
        <w:t>中心根据年度承担的学校专项工程、中心内部改造项目，和学校对专项工程人工费、工程取费标准的调整，择机对外协施工队伍进行招标选择。</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二）</w:t>
      </w:r>
      <w:r>
        <w:rPr>
          <w:rFonts w:hint="eastAsia" w:asciiTheme="minorEastAsia" w:hAnsiTheme="minorEastAsia" w:eastAsiaTheme="minorEastAsia" w:cstheme="minorEastAsia"/>
          <w:sz w:val="28"/>
          <w:szCs w:val="28"/>
        </w:rPr>
        <w:t>招标外协施工队伍前，由中心综合部和质检部联合审查投标单位的各类施工资质，未经资质审查或审查不合格的外协施工队伍，严禁参与投标。资质审查的相关资料复印件存档综合部。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三）</w:t>
      </w:r>
      <w:r>
        <w:rPr>
          <w:rFonts w:hint="eastAsia" w:asciiTheme="minorEastAsia" w:hAnsiTheme="minorEastAsia" w:eastAsiaTheme="minorEastAsia" w:cstheme="minorEastAsia"/>
          <w:sz w:val="28"/>
          <w:szCs w:val="28"/>
        </w:rPr>
        <w:t>外协施工队伍资质审查内容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1、</w:t>
      </w:r>
      <w:r>
        <w:rPr>
          <w:rFonts w:hint="eastAsia" w:asciiTheme="minorEastAsia" w:hAnsiTheme="minorEastAsia" w:eastAsiaTheme="minorEastAsia" w:cstheme="minorEastAsia"/>
          <w:sz w:val="28"/>
          <w:szCs w:val="28"/>
        </w:rPr>
        <w:t>有关部门颁发的、有效的营业执照和施工资质证书。</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rPr>
        <w:t>法人代表资格证书或法人授权委托书。</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rPr>
        <w:t>由当地政府主管部门颁发的“施工安全资格证”、施工简历和近期三年安全施工记录。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4、</w:t>
      </w:r>
      <w:r>
        <w:rPr>
          <w:rFonts w:hint="eastAsia" w:asciiTheme="minorEastAsia" w:hAnsiTheme="minorEastAsia" w:eastAsiaTheme="minorEastAsia" w:cstheme="minorEastAsia"/>
          <w:sz w:val="28"/>
          <w:szCs w:val="28"/>
        </w:rPr>
        <w:t>安全施工的技术素质（包括负责人、工程技术人员和工人）及特种作业人员证件。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5、</w:t>
      </w:r>
      <w:r>
        <w:rPr>
          <w:rFonts w:hint="eastAsia" w:asciiTheme="minorEastAsia" w:hAnsiTheme="minorEastAsia" w:eastAsiaTheme="minorEastAsia" w:cstheme="minorEastAsia"/>
          <w:sz w:val="28"/>
          <w:szCs w:val="28"/>
        </w:rPr>
        <w:t>安全施工管理机构及人员配置，外协施工队伍必须配备专职安全员。</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6、</w:t>
      </w:r>
      <w:r>
        <w:rPr>
          <w:rFonts w:hint="eastAsia" w:asciiTheme="minorEastAsia" w:hAnsiTheme="minorEastAsia" w:eastAsiaTheme="minorEastAsia" w:cstheme="minorEastAsia"/>
          <w:sz w:val="28"/>
          <w:szCs w:val="28"/>
        </w:rPr>
        <w:t>保证安全施工的机械、工器具及安全防护设施、用具的配备。</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7、</w:t>
      </w:r>
      <w:r>
        <w:rPr>
          <w:rFonts w:hint="eastAsia" w:asciiTheme="minorEastAsia" w:hAnsiTheme="minorEastAsia" w:eastAsiaTheme="minorEastAsia" w:cstheme="minorEastAsia"/>
          <w:sz w:val="28"/>
          <w:szCs w:val="28"/>
        </w:rPr>
        <w:t>安全施工管理制度等相关资料。</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四）</w:t>
      </w:r>
      <w:r>
        <w:rPr>
          <w:rFonts w:hint="eastAsia" w:asciiTheme="minorEastAsia" w:hAnsiTheme="minorEastAsia" w:eastAsiaTheme="minorEastAsia" w:cstheme="minorEastAsia"/>
          <w:sz w:val="28"/>
          <w:szCs w:val="28"/>
        </w:rPr>
        <w:t>资质审查不得自行降低标准，不得简化程序，不得逾期不办。对于管理混乱或出过伤亡事故的外协施工队伍（非本单位责任除外），不得继续使用。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五）</w:t>
      </w:r>
      <w:r>
        <w:rPr>
          <w:rFonts w:hint="eastAsia" w:asciiTheme="minorEastAsia" w:hAnsiTheme="minorEastAsia" w:eastAsiaTheme="minorEastAsia" w:cstheme="minorEastAsia"/>
          <w:sz w:val="28"/>
          <w:szCs w:val="28"/>
        </w:rPr>
        <w:t>对安全施工资质不合格的队伍，具有一票否决权。</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三、外协施工队伍安全生产监督管理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b/>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一）</w:t>
      </w:r>
      <w:r>
        <w:rPr>
          <w:rFonts w:hint="eastAsia" w:asciiTheme="minorEastAsia" w:hAnsiTheme="minorEastAsia" w:eastAsiaTheme="minorEastAsia" w:cstheme="minorEastAsia"/>
          <w:sz w:val="28"/>
          <w:szCs w:val="28"/>
        </w:rPr>
        <w:t>中心相关部门对外协队伍的施工质量、安全施工负有监督和指导的任务和对工程范围内的危险源有交底的义务，将外协队伍的安全施工列入本部门的重要议事日程，严禁以“包”代“管”、以“罚”代“管”。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b/>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二）</w:t>
      </w:r>
      <w:r>
        <w:rPr>
          <w:rFonts w:hint="eastAsia" w:asciiTheme="minorEastAsia" w:hAnsiTheme="minorEastAsia" w:eastAsiaTheme="minorEastAsia" w:cstheme="minorEastAsia"/>
          <w:sz w:val="28"/>
          <w:szCs w:val="28"/>
        </w:rPr>
        <w:t>相关部门对外协队伍的员工应按中心职工一样实施安全管理。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b/>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三）</w:t>
      </w:r>
      <w:r>
        <w:rPr>
          <w:rFonts w:hint="eastAsia" w:asciiTheme="minorEastAsia" w:hAnsiTheme="minorEastAsia" w:eastAsiaTheme="minorEastAsia" w:cstheme="minorEastAsia"/>
          <w:sz w:val="28"/>
          <w:szCs w:val="28"/>
        </w:rPr>
        <w:t>相关部门应监督外协施工队伍定期组织员工体检，体检不合格或患有职业禁忌症者，以及老、弱、病、残、童工，应坚决辞退。凡已注册的人员不得随意更换，不得冒名顶替。</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b/>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四）</w:t>
      </w:r>
      <w:r>
        <w:rPr>
          <w:rFonts w:hint="eastAsia" w:asciiTheme="minorEastAsia" w:hAnsiTheme="minorEastAsia" w:eastAsiaTheme="minorEastAsia" w:cstheme="minorEastAsia"/>
          <w:sz w:val="28"/>
          <w:szCs w:val="28"/>
        </w:rPr>
        <w:t>工程开工前，外协队伍必须组织全体人员分工种进行安全教育和考试，受教育人员名单和考试成绩必须报综合部备案，经考试合格后，方可进入施工现场施工。凡增补或调整人员，更换工种，在上岗前必须进行安全教育和考核，并报综合部备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b/>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五）</w:t>
      </w:r>
      <w:r>
        <w:rPr>
          <w:rFonts w:hint="eastAsia" w:asciiTheme="minorEastAsia" w:hAnsiTheme="minorEastAsia" w:eastAsiaTheme="minorEastAsia" w:cstheme="minorEastAsia"/>
          <w:sz w:val="28"/>
          <w:szCs w:val="28"/>
        </w:rPr>
        <w:t>综合部应给外协队伍员工办理带有本人照片的“胸卡证”，员工上岗时佩带。胸卡证严禁转借他人。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b/>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六）</w:t>
      </w:r>
      <w:r>
        <w:rPr>
          <w:rFonts w:hint="eastAsia" w:asciiTheme="minorEastAsia" w:hAnsiTheme="minorEastAsia" w:eastAsiaTheme="minorEastAsia" w:cstheme="minorEastAsia"/>
          <w:sz w:val="28"/>
          <w:szCs w:val="28"/>
        </w:rPr>
        <w:t>外协施工队伍对所承担的施工项目必须编制安全施工措施，经相关部门和质检部审查后执行，并作为合同附件，无此附件，所签定合同无效。因无安全措施而发生事故，相关部门承担相应责任。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b/>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七）</w:t>
      </w:r>
      <w:r>
        <w:rPr>
          <w:rFonts w:hint="eastAsia" w:asciiTheme="minorEastAsia" w:hAnsiTheme="minorEastAsia" w:eastAsiaTheme="minorEastAsia" w:cstheme="minorEastAsia"/>
          <w:sz w:val="28"/>
          <w:szCs w:val="28"/>
        </w:rPr>
        <w:t>外协施工队伍必须认真贯彻执行国家、省市有关安全生产的方针、政策、法律、法规和学校安全工作规程、规定，遵守中心有关安全文明施工管理规定，服从中心在安全方面的管理、监督和指导，并定期向中心相关部门汇报工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b/>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八）</w:t>
      </w:r>
      <w:r>
        <w:rPr>
          <w:rFonts w:hint="eastAsia" w:asciiTheme="minorEastAsia" w:hAnsiTheme="minorEastAsia" w:eastAsiaTheme="minorEastAsia" w:cstheme="minorEastAsia"/>
          <w:sz w:val="28"/>
          <w:szCs w:val="28"/>
        </w:rPr>
        <w:t>外协施工队伍的项目负责人是该单位安全第一责任者，对本单位的安全施工负全责。外协施工队伍的安全员应有明显标志。</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b/>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九）</w:t>
      </w:r>
      <w:r>
        <w:rPr>
          <w:rFonts w:hint="eastAsia" w:asciiTheme="minorEastAsia" w:hAnsiTheme="minorEastAsia" w:eastAsiaTheme="minorEastAsia" w:cstheme="minorEastAsia"/>
          <w:sz w:val="28"/>
          <w:szCs w:val="28"/>
        </w:rPr>
        <w:t>综合部、质检部应组织外协施工队伍参加定期或不定期的安全检查活动和安全工作例会，及时向外协施工队伍传达上级有关安全工作的文件及通报等，并监督学习与贯彻执行。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b/>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十）</w:t>
      </w:r>
      <w:r>
        <w:rPr>
          <w:rFonts w:hint="eastAsia" w:asciiTheme="minorEastAsia" w:hAnsiTheme="minorEastAsia" w:eastAsiaTheme="minorEastAsia" w:cstheme="minorEastAsia"/>
          <w:sz w:val="28"/>
          <w:szCs w:val="28"/>
        </w:rPr>
        <w:t>对特殊作业、危险作业的施工项目，中心质检部和相关部门应监督外协施工队伍编制安全施工措施，并监督其实施。</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b/>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十一）</w:t>
      </w:r>
      <w:r>
        <w:rPr>
          <w:rFonts w:hint="eastAsia" w:asciiTheme="minorEastAsia" w:hAnsiTheme="minorEastAsia" w:eastAsiaTheme="minorEastAsia" w:cstheme="minorEastAsia"/>
          <w:sz w:val="28"/>
          <w:szCs w:val="28"/>
        </w:rPr>
        <w:t>与外协施工队伍签定合同时，要同时签定相关安全合同（见附件），明确各自的安全施工责任。凡由外协施工队伍责任造成的伤亡事故，应由外协施工队伍承担全部责任。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b/>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十二）</w:t>
      </w:r>
      <w:r>
        <w:rPr>
          <w:rFonts w:hint="eastAsia" w:asciiTheme="minorEastAsia" w:hAnsiTheme="minorEastAsia" w:eastAsiaTheme="minorEastAsia" w:cstheme="minorEastAsia"/>
          <w:sz w:val="28"/>
          <w:szCs w:val="28"/>
        </w:rPr>
        <w:t>与外协施工队伍签定合同时，必须明确规定外协施工队伍对自己的人员、设备及第三者进行保险。</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b/>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十三）</w:t>
      </w:r>
      <w:r>
        <w:rPr>
          <w:rFonts w:hint="eastAsia" w:asciiTheme="minorEastAsia" w:hAnsiTheme="minorEastAsia" w:eastAsiaTheme="minorEastAsia" w:cstheme="minorEastAsia"/>
          <w:sz w:val="28"/>
          <w:szCs w:val="28"/>
        </w:rPr>
        <w:t>合同中可规定：对外协施工队伍实行安全与经济挂钩管理办法。根据工程量，预留合同价款的 5%或 5-10 万元作为安全施工保证金。发生死亡事故扣除保证金的100%，发生重伤事故扣除保证金的 50%。</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b/>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十四）</w:t>
      </w:r>
      <w:r>
        <w:rPr>
          <w:rFonts w:hint="eastAsia" w:asciiTheme="minorEastAsia" w:hAnsiTheme="minorEastAsia" w:eastAsiaTheme="minorEastAsia" w:cstheme="minorEastAsia"/>
          <w:sz w:val="28"/>
          <w:szCs w:val="28"/>
        </w:rPr>
        <w:t>外协施工队伍必须按国家规定为施工人员配备劳动保护用品、用具。综合部、质检部应对其进行监督。</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b/>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十五）</w:t>
      </w:r>
      <w:r>
        <w:rPr>
          <w:rFonts w:hint="eastAsia" w:asciiTheme="minorEastAsia" w:hAnsiTheme="minorEastAsia" w:eastAsiaTheme="minorEastAsia" w:cstheme="minorEastAsia"/>
          <w:sz w:val="28"/>
          <w:szCs w:val="28"/>
        </w:rPr>
        <w:t>对负责人不服从安全部门管理或严重违章作业、野蛮施工、管理混乱、事故不断的外协施工队伍，必须立即终止合同，限期退出并严禁重新参与中心承担的工程目3.16. 严禁外协施工队伍再行转包。</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四、附则</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一）</w:t>
      </w:r>
      <w:r>
        <w:rPr>
          <w:rFonts w:hint="eastAsia" w:asciiTheme="minorEastAsia" w:hAnsiTheme="minorEastAsia" w:eastAsiaTheme="minorEastAsia" w:cstheme="minorEastAsia"/>
          <w:sz w:val="28"/>
          <w:szCs w:val="28"/>
        </w:rPr>
        <w:t>外协施工队伍系指：以合同方式承接（分包）工程任务或劳务分包的、具有独立法人资格的经济实体。</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二）</w:t>
      </w:r>
      <w:r>
        <w:rPr>
          <w:rFonts w:hint="eastAsia" w:asciiTheme="minorEastAsia" w:hAnsiTheme="minorEastAsia" w:eastAsiaTheme="minorEastAsia" w:cstheme="minorEastAsia"/>
          <w:sz w:val="28"/>
          <w:szCs w:val="28"/>
        </w:rPr>
        <w:t>本制度由能源与维修服务中心负责解释。</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三）</w:t>
      </w:r>
      <w:r>
        <w:rPr>
          <w:rFonts w:hint="eastAsia" w:asciiTheme="minorEastAsia" w:hAnsiTheme="minorEastAsia" w:eastAsiaTheme="minorEastAsia" w:cstheme="minorEastAsia"/>
          <w:sz w:val="28"/>
          <w:szCs w:val="28"/>
        </w:rPr>
        <w:t>本制度自发布之日起执行。</w:t>
      </w:r>
    </w:p>
    <w:p>
      <w:pPr>
        <w:keepNext w:val="0"/>
        <w:keepLines w:val="0"/>
        <w:pageBreakBefore w:val="0"/>
        <w:widowControl w:val="0"/>
        <w:kinsoku/>
        <w:wordWrap/>
        <w:overflowPunct/>
        <w:topLinePunct w:val="0"/>
        <w:autoSpaceDE/>
        <w:autoSpaceDN/>
        <w:bidi w:val="0"/>
        <w:adjustRightInd/>
        <w:snapToGrid/>
        <w:spacing w:line="480" w:lineRule="exact"/>
        <w:ind w:firstLine="3313" w:firstLineChars="1100"/>
        <w:jc w:val="left"/>
        <w:textAlignment w:val="auto"/>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施工安全应急预案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为加强对施工生产安全事故的防范，及时做好安全事故发生后的救援处置工作，最大限度地减少事故损失，根据《中华人民共和国安全生产法》、《建设工程安全生产管理条例》、等有关规定，结合部门施工生产的实际，特制部门施工安全应急预案。</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一、应急预案的任务和目标</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更好地适应法律和经济活动的要求，给部门员工的工作和施工场区周围居民提供更好更安全的环境；保证各种应急反应资源处于良好的备战状态；指导应急反应行动按计划有序地进行，防止因应急反应行动组织不力或现场救援工作的无序和混乱而延误事故的应急救援；有效地避免或降低人员伤亡和财产损失；帮助实现应急反应行动的快速、有序、高效；充分体现应急救援的“应急精神”。</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二、应急处理措施</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一）</w:t>
      </w:r>
      <w:r>
        <w:rPr>
          <w:rFonts w:hint="eastAsia" w:asciiTheme="minorEastAsia" w:hAnsiTheme="minorEastAsia" w:eastAsiaTheme="minorEastAsia" w:cstheme="minorEastAsia"/>
          <w:sz w:val="28"/>
          <w:szCs w:val="28"/>
        </w:rPr>
        <w:t>应急领导小组职责：建设工地发生安全事故时，负责指挥工地抢救工作，向各抢救小组下达抢救指令任务，协调各组之间的抢救工作，随时掌握各组最新动态并做出最新决策，第一时间向 110、119、120、当地政府安监部门、公安部门求援或报告灾情。</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二）</w:t>
      </w:r>
      <w:r>
        <w:rPr>
          <w:rFonts w:hint="eastAsia" w:asciiTheme="minorEastAsia" w:hAnsiTheme="minorEastAsia" w:eastAsiaTheme="minorEastAsia" w:cstheme="minorEastAsia"/>
          <w:sz w:val="28"/>
          <w:szCs w:val="28"/>
        </w:rPr>
        <w:t>现场抢救组职责：采取紧急措施，尽一切可能抢救伤员及被困人员，防止事故进一步扩大。</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三）</w:t>
      </w:r>
      <w:r>
        <w:rPr>
          <w:rFonts w:hint="eastAsia" w:asciiTheme="minorEastAsia" w:hAnsiTheme="minorEastAsia" w:eastAsiaTheme="minorEastAsia" w:cstheme="minorEastAsia"/>
          <w:sz w:val="28"/>
          <w:szCs w:val="28"/>
        </w:rPr>
        <w:t>医疗救治组职责：对抢救出的伤员，视情况采取急救处置措施，尽快送医院抢救。</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四）</w:t>
      </w:r>
      <w:r>
        <w:rPr>
          <w:rFonts w:hint="eastAsia" w:asciiTheme="minorEastAsia" w:hAnsiTheme="minorEastAsia" w:eastAsiaTheme="minorEastAsia" w:cstheme="minorEastAsia"/>
          <w:sz w:val="28"/>
          <w:szCs w:val="28"/>
        </w:rPr>
        <w:t>后勤服务组职责：负责交通车辆的调配，紧急救援物资的征集及人员的餐饮供应。</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五）</w:t>
      </w:r>
      <w:r>
        <w:rPr>
          <w:rFonts w:hint="eastAsia" w:asciiTheme="minorEastAsia" w:hAnsiTheme="minorEastAsia" w:eastAsiaTheme="minorEastAsia" w:cstheme="minorEastAsia"/>
          <w:sz w:val="28"/>
          <w:szCs w:val="28"/>
        </w:rPr>
        <w:t>保安组职责：负责工地的安全保卫，支援其他抢救组的工作，保护现场。</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三、应急知识培训</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一）</w:t>
      </w:r>
      <w:r>
        <w:rPr>
          <w:rFonts w:hint="eastAsia" w:asciiTheme="minorEastAsia" w:hAnsiTheme="minorEastAsia" w:eastAsiaTheme="minorEastAsia" w:cstheme="minorEastAsia"/>
          <w:sz w:val="28"/>
          <w:szCs w:val="28"/>
        </w:rPr>
        <w:t>应急小组成员在项目安全教育时必须附带接受紧急救援培训。</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二）</w:t>
      </w:r>
      <w:r>
        <w:rPr>
          <w:rFonts w:hint="eastAsia" w:asciiTheme="minorEastAsia" w:hAnsiTheme="minorEastAsia" w:eastAsiaTheme="minorEastAsia" w:cstheme="minorEastAsia"/>
          <w:sz w:val="28"/>
          <w:szCs w:val="28"/>
        </w:rPr>
        <w:t>培训内容：伤员急救常识、灭火器材使用常识、各类重大事故抢险常识等。务必使应急小组成员在发生重大事故时能较熟练地履行抢救职责。</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四、水电暖外网突然事故处理及预防措施</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一）</w:t>
      </w:r>
      <w:r>
        <w:rPr>
          <w:rFonts w:hint="eastAsia" w:asciiTheme="minorEastAsia" w:hAnsiTheme="minorEastAsia" w:eastAsiaTheme="minorEastAsia" w:cstheme="minorEastAsia"/>
          <w:sz w:val="28"/>
          <w:szCs w:val="28"/>
        </w:rPr>
        <w:t>遇到水、暖外网突发事故时，如水管或供暖管道大量失水，影响正常运行，应及时关闭相应控制阀，情况特殊的及时向上级领导汇报，按要求停水或者停锅炉，并迅速查找原因，及时处理。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二）</w:t>
      </w:r>
      <w:r>
        <w:rPr>
          <w:rFonts w:hint="eastAsia" w:asciiTheme="minorEastAsia" w:hAnsiTheme="minorEastAsia" w:eastAsiaTheme="minorEastAsia" w:cstheme="minorEastAsia"/>
          <w:sz w:val="28"/>
          <w:szCs w:val="28"/>
        </w:rPr>
        <w:t>遇到电缆突发事故时，应及时向上级领导汇报，及时通知用电部门或者用户，张贴停电通知，同时及时组织抢修；情况特殊导致大面积停电的应及时通知供电部门，对供电进行调整，防止事故影响面进一步扩大。</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三）</w:t>
      </w:r>
      <w:r>
        <w:rPr>
          <w:rFonts w:hint="eastAsia" w:asciiTheme="minorEastAsia" w:hAnsiTheme="minorEastAsia" w:eastAsiaTheme="minorEastAsia" w:cstheme="minorEastAsia"/>
          <w:sz w:val="28"/>
          <w:szCs w:val="28"/>
        </w:rPr>
        <w:t>预防措施</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1、</w:t>
      </w:r>
      <w:r>
        <w:rPr>
          <w:rFonts w:hint="eastAsia" w:asciiTheme="minorEastAsia" w:hAnsiTheme="minorEastAsia" w:eastAsiaTheme="minorEastAsia" w:cstheme="minorEastAsia"/>
          <w:sz w:val="28"/>
          <w:szCs w:val="28"/>
        </w:rPr>
        <w:t>维修人员必须按时按计划和要求对外网进行巡查，并做好巡查纪录。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rPr>
        <w:t>对管道密集、用电负荷较大的地点设置定点巡查点，确保外网运行可靠。</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rPr>
        <w:t>加强工作人员的工作责任心，定期检查管道阀门，保证其灵敏度。</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五、事故报告</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工地发生安全事故后，各小组除立即组织抢救伤员，采取有效措施防止事故扩大和保护事故现场，做好善后工作外，还应按下列规定报告有关部门：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一）</w:t>
      </w:r>
      <w:r>
        <w:rPr>
          <w:rFonts w:hint="eastAsia" w:asciiTheme="minorEastAsia" w:hAnsiTheme="minorEastAsia" w:eastAsiaTheme="minorEastAsia" w:cstheme="minorEastAsia"/>
          <w:sz w:val="28"/>
          <w:szCs w:val="28"/>
        </w:rPr>
        <w:t>轻伤事故：应由项目部在 24 小时内报告中心领导；</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二）</w:t>
      </w:r>
      <w:r>
        <w:rPr>
          <w:rFonts w:hint="eastAsia" w:asciiTheme="minorEastAsia" w:hAnsiTheme="minorEastAsia" w:eastAsiaTheme="minorEastAsia" w:cstheme="minorEastAsia"/>
          <w:sz w:val="28"/>
          <w:szCs w:val="28"/>
        </w:rPr>
        <w:t>重伤事故：部门应在接到报告后 24 小时内报告上级主管单位；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三）</w:t>
      </w:r>
      <w:r>
        <w:rPr>
          <w:rFonts w:hint="eastAsia" w:asciiTheme="minorEastAsia" w:hAnsiTheme="minorEastAsia" w:eastAsiaTheme="minorEastAsia" w:cstheme="minorEastAsia"/>
          <w:sz w:val="28"/>
          <w:szCs w:val="28"/>
        </w:rPr>
        <w:t>急性中毒、中暑事故：应同时报告当地卫生部门；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四）</w:t>
      </w:r>
      <w:r>
        <w:rPr>
          <w:rFonts w:hint="eastAsia" w:asciiTheme="minorEastAsia" w:hAnsiTheme="minorEastAsia" w:eastAsiaTheme="minorEastAsia" w:cstheme="minorEastAsia"/>
          <w:sz w:val="28"/>
          <w:szCs w:val="28"/>
        </w:rPr>
        <w:t>易爆物品爆炸和火灾事故：应同时报告当地公安部门。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五）</w:t>
      </w:r>
      <w:r>
        <w:rPr>
          <w:rFonts w:hint="eastAsia" w:asciiTheme="minorEastAsia" w:hAnsiTheme="minorEastAsia" w:eastAsiaTheme="minorEastAsia" w:cstheme="minorEastAsia"/>
          <w:sz w:val="28"/>
          <w:szCs w:val="28"/>
        </w:rPr>
        <w:t>员工受伤后，轻伤的送工地现场医务室医治，重伤、中毒的送医院救治。因伤势过重抢救无效死亡的，该单位应在 8 小时内通知劳动行政部门处理。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3012" w:firstLineChars="1000"/>
        <w:jc w:val="left"/>
        <w:textAlignment w:val="auto"/>
        <w:rPr>
          <w:rFonts w:ascii="宋体" w:hAnsi="宋体"/>
          <w:b/>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firstLine="3012" w:firstLineChars="1000"/>
        <w:jc w:val="left"/>
        <w:textAlignment w:val="auto"/>
        <w:rPr>
          <w:rFonts w:ascii="宋体" w:hAnsi="宋体"/>
          <w:b/>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firstLine="3000" w:firstLineChars="1000"/>
        <w:jc w:val="left"/>
        <w:textAlignment w:val="auto"/>
        <w:rPr>
          <w:rFonts w:ascii="宋体" w:hAnsi="宋体"/>
          <w:b/>
          <w:sz w:val="36"/>
          <w:szCs w:val="36"/>
        </w:rPr>
      </w:pPr>
      <w:r>
        <w:rPr>
          <w:sz w:val="30"/>
          <w:szCs w:val="30"/>
        </w:rPr>
        <w:drawing>
          <wp:anchor distT="0" distB="0" distL="114300" distR="114300" simplePos="0" relativeHeight="251660288" behindDoc="1" locked="0" layoutInCell="0" allowOverlap="1">
            <wp:simplePos x="0" y="0"/>
            <wp:positionH relativeFrom="column">
              <wp:posOffset>-198755</wp:posOffset>
            </wp:positionH>
            <wp:positionV relativeFrom="paragraph">
              <wp:posOffset>885825</wp:posOffset>
            </wp:positionV>
            <wp:extent cx="5686425" cy="7400925"/>
            <wp:effectExtent l="0" t="0" r="9525" b="9525"/>
            <wp:wrapNone/>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6"/>
                    <a:stretch>
                      <a:fillRect/>
                    </a:stretch>
                  </pic:blipFill>
                  <pic:spPr>
                    <a:xfrm>
                      <a:off x="0" y="0"/>
                      <a:ext cx="5686425" cy="7400925"/>
                    </a:xfrm>
                    <a:prstGeom prst="rect">
                      <a:avLst/>
                    </a:prstGeom>
                    <a:noFill/>
                    <a:ln>
                      <a:noFill/>
                    </a:ln>
                  </pic:spPr>
                </pic:pic>
              </a:graphicData>
            </a:graphic>
          </wp:anchor>
        </w:drawing>
      </w:r>
      <w:r>
        <w:rPr>
          <w:rFonts w:ascii="宋体" w:hAnsi="宋体"/>
          <w:b/>
          <w:sz w:val="30"/>
          <w:szCs w:val="30"/>
        </w:rPr>
        <w:t>工程施工管理流程</w:t>
      </w:r>
    </w:p>
    <w:p>
      <w:pPr>
        <w:jc w:val="both"/>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spacing w:line="500" w:lineRule="exact"/>
        <w:ind w:right="62"/>
        <w:jc w:val="center"/>
        <w:rPr>
          <w:rFonts w:ascii="宋体" w:hAnsi="宋体"/>
          <w:b/>
          <w:sz w:val="36"/>
          <w:szCs w:val="36"/>
        </w:rPr>
      </w:pPr>
    </w:p>
    <w:p>
      <w:pPr>
        <w:spacing w:line="500" w:lineRule="exact"/>
        <w:ind w:right="62"/>
        <w:jc w:val="center"/>
        <w:rPr>
          <w:rFonts w:ascii="宋体" w:hAnsi="宋体"/>
          <w:b/>
          <w:sz w:val="36"/>
          <w:szCs w:val="36"/>
        </w:rPr>
      </w:pPr>
    </w:p>
    <w:p>
      <w:pPr>
        <w:spacing w:line="500" w:lineRule="exact"/>
        <w:ind w:right="62"/>
        <w:jc w:val="center"/>
        <w:rPr>
          <w:rFonts w:ascii="宋体" w:hAnsi="宋体"/>
          <w:b/>
          <w:sz w:val="36"/>
          <w:szCs w:val="36"/>
        </w:rPr>
      </w:pPr>
    </w:p>
    <w:p>
      <w:pPr>
        <w:spacing w:line="500" w:lineRule="exact"/>
        <w:ind w:right="62"/>
        <w:jc w:val="center"/>
        <w:rPr>
          <w:rFonts w:ascii="宋体" w:hAnsi="宋体"/>
          <w:b/>
          <w:sz w:val="36"/>
          <w:szCs w:val="36"/>
        </w:rPr>
      </w:pPr>
    </w:p>
    <w:p>
      <w:pPr>
        <w:spacing w:line="500" w:lineRule="exact"/>
        <w:ind w:right="62"/>
        <w:jc w:val="center"/>
        <w:rPr>
          <w:rFonts w:ascii="宋体" w:hAnsi="宋体"/>
          <w:b/>
          <w:sz w:val="36"/>
          <w:szCs w:val="36"/>
        </w:rPr>
      </w:pPr>
    </w:p>
    <w:p>
      <w:pPr>
        <w:spacing w:line="500" w:lineRule="exact"/>
        <w:ind w:right="62"/>
        <w:jc w:val="center"/>
        <w:rPr>
          <w:rFonts w:ascii="宋体" w:hAnsi="宋体"/>
          <w:b/>
          <w:sz w:val="36"/>
          <w:szCs w:val="36"/>
        </w:rPr>
      </w:pPr>
    </w:p>
    <w:p>
      <w:pPr>
        <w:spacing w:line="500" w:lineRule="exact"/>
        <w:ind w:right="62"/>
        <w:jc w:val="center"/>
        <w:rPr>
          <w:rFonts w:ascii="宋体" w:hAnsi="宋体"/>
          <w:b/>
          <w:sz w:val="36"/>
          <w:szCs w:val="36"/>
        </w:rPr>
      </w:pPr>
    </w:p>
    <w:p>
      <w:pPr>
        <w:spacing w:line="500" w:lineRule="exact"/>
        <w:ind w:right="62" w:firstLine="2891" w:firstLineChars="800"/>
        <w:jc w:val="both"/>
        <w:rPr>
          <w:rFonts w:ascii="宋体" w:hAnsi="宋体"/>
          <w:b/>
          <w:sz w:val="36"/>
          <w:szCs w:val="36"/>
        </w:rPr>
      </w:pPr>
    </w:p>
    <w:p>
      <w:pPr>
        <w:spacing w:line="500" w:lineRule="exact"/>
        <w:ind w:right="62" w:firstLine="2891" w:firstLineChars="800"/>
        <w:jc w:val="both"/>
        <w:rPr>
          <w:rFonts w:ascii="宋体" w:hAnsi="宋体"/>
          <w:b/>
          <w:sz w:val="36"/>
          <w:szCs w:val="36"/>
        </w:rPr>
      </w:pPr>
    </w:p>
    <w:p>
      <w:pPr>
        <w:spacing w:line="500" w:lineRule="exact"/>
        <w:ind w:right="62" w:firstLine="3012" w:firstLineChars="1000"/>
        <w:jc w:val="both"/>
        <w:rPr>
          <w:rFonts w:ascii="宋体" w:hAnsi="宋体"/>
          <w:b/>
          <w:sz w:val="30"/>
          <w:szCs w:val="30"/>
        </w:rPr>
      </w:pPr>
    </w:p>
    <w:p>
      <w:pPr>
        <w:spacing w:line="500" w:lineRule="exact"/>
        <w:ind w:right="62" w:firstLine="3012" w:firstLineChars="1000"/>
        <w:jc w:val="both"/>
        <w:rPr>
          <w:rFonts w:ascii="宋体" w:hAnsi="宋体"/>
          <w:b/>
          <w:sz w:val="30"/>
          <w:szCs w:val="30"/>
        </w:rPr>
      </w:pPr>
      <w:r>
        <w:rPr>
          <w:rFonts w:ascii="宋体" w:hAnsi="宋体"/>
          <w:b/>
          <w:sz w:val="30"/>
          <w:szCs w:val="30"/>
        </w:rPr>
        <w:t>工程项目管理流程</w:t>
      </w:r>
    </w:p>
    <w:p>
      <w:pPr>
        <w:rPr>
          <w:sz w:val="30"/>
          <w:szCs w:val="30"/>
        </w:rPr>
      </w:pPr>
      <w:r>
        <w:rPr>
          <w:sz w:val="30"/>
          <w:szCs w:val="30"/>
        </w:rPr>
        <w:drawing>
          <wp:anchor distT="0" distB="0" distL="114300" distR="114300" simplePos="0" relativeHeight="251661312" behindDoc="1" locked="0" layoutInCell="0" allowOverlap="1">
            <wp:simplePos x="0" y="0"/>
            <wp:positionH relativeFrom="column">
              <wp:posOffset>11430</wp:posOffset>
            </wp:positionH>
            <wp:positionV relativeFrom="paragraph">
              <wp:posOffset>377825</wp:posOffset>
            </wp:positionV>
            <wp:extent cx="5420995" cy="7134225"/>
            <wp:effectExtent l="0" t="0" r="8255" b="952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5420995" cy="7134225"/>
                    </a:xfrm>
                    <a:prstGeom prst="rect">
                      <a:avLst/>
                    </a:prstGeom>
                    <a:noFill/>
                    <a:ln>
                      <a:noFill/>
                    </a:ln>
                  </pic:spPr>
                </pic:pic>
              </a:graphicData>
            </a:graphic>
          </wp:anchor>
        </w:drawing>
      </w:r>
    </w:p>
    <w:p>
      <w:pPr>
        <w:jc w:val="center"/>
        <w:rPr>
          <w:rFonts w:hint="default" w:ascii="宋体" w:hAnsi="宋体"/>
          <w:b/>
          <w:sz w:val="36"/>
          <w:szCs w:val="36"/>
          <w:lang w:val="en-US" w:eastAsia="zh-CN"/>
        </w:rPr>
      </w:pPr>
    </w:p>
    <w:p>
      <w:pPr>
        <w:jc w:val="center"/>
        <w:rPr>
          <w:rFonts w:hint="default" w:ascii="宋体" w:hAnsi="宋体"/>
          <w:b/>
          <w:sz w:val="36"/>
          <w:szCs w:val="36"/>
          <w:lang w:val="en-US" w:eastAsia="zh-CN"/>
        </w:rPr>
      </w:pPr>
    </w:p>
    <w:p>
      <w:pPr>
        <w:jc w:val="center"/>
        <w:rPr>
          <w:rFonts w:hint="default" w:ascii="宋体" w:hAnsi="宋体"/>
          <w:b/>
          <w:sz w:val="36"/>
          <w:szCs w:val="36"/>
          <w:lang w:val="en-US" w:eastAsia="zh-CN"/>
        </w:rPr>
      </w:pPr>
    </w:p>
    <w:p>
      <w:pPr>
        <w:jc w:val="center"/>
        <w:rPr>
          <w:rFonts w:hint="default" w:ascii="宋体" w:hAnsi="宋体"/>
          <w:b/>
          <w:sz w:val="36"/>
          <w:szCs w:val="36"/>
          <w:lang w:val="en-US" w:eastAsia="zh-CN"/>
        </w:rPr>
      </w:pPr>
    </w:p>
    <w:p>
      <w:pPr>
        <w:jc w:val="center"/>
        <w:rPr>
          <w:rFonts w:hint="default" w:ascii="宋体" w:hAnsi="宋体"/>
          <w:b/>
          <w:sz w:val="36"/>
          <w:szCs w:val="36"/>
          <w:lang w:val="en-US" w:eastAsia="zh-CN"/>
        </w:rPr>
      </w:pPr>
    </w:p>
    <w:p>
      <w:pPr>
        <w:jc w:val="center"/>
        <w:rPr>
          <w:rFonts w:hint="default" w:ascii="宋体" w:hAnsi="宋体"/>
          <w:b/>
          <w:sz w:val="36"/>
          <w:szCs w:val="36"/>
          <w:lang w:val="en-US" w:eastAsia="zh-CN"/>
        </w:rPr>
      </w:pPr>
    </w:p>
    <w:p>
      <w:pPr>
        <w:jc w:val="center"/>
        <w:rPr>
          <w:rFonts w:hint="default" w:ascii="宋体" w:hAnsi="宋体"/>
          <w:b/>
          <w:sz w:val="36"/>
          <w:szCs w:val="36"/>
          <w:lang w:val="en-US" w:eastAsia="zh-CN"/>
        </w:rPr>
      </w:pPr>
    </w:p>
    <w:p>
      <w:pPr>
        <w:jc w:val="center"/>
        <w:rPr>
          <w:rFonts w:hint="default" w:ascii="宋体" w:hAnsi="宋体"/>
          <w:b/>
          <w:sz w:val="36"/>
          <w:szCs w:val="36"/>
          <w:lang w:val="en-US" w:eastAsia="zh-CN"/>
        </w:rPr>
      </w:pPr>
    </w:p>
    <w:p>
      <w:pPr>
        <w:jc w:val="center"/>
        <w:rPr>
          <w:rFonts w:hint="default" w:ascii="宋体" w:hAnsi="宋体"/>
          <w:b/>
          <w:sz w:val="36"/>
          <w:szCs w:val="36"/>
          <w:lang w:val="en-US" w:eastAsia="zh-CN"/>
        </w:rPr>
      </w:pPr>
    </w:p>
    <w:p>
      <w:pPr>
        <w:jc w:val="center"/>
        <w:rPr>
          <w:rFonts w:hint="default" w:ascii="宋体" w:hAnsi="宋体"/>
          <w:b/>
          <w:sz w:val="36"/>
          <w:szCs w:val="36"/>
          <w:lang w:val="en-US" w:eastAsia="zh-CN"/>
        </w:rPr>
      </w:pPr>
    </w:p>
    <w:p>
      <w:pPr>
        <w:jc w:val="center"/>
        <w:rPr>
          <w:rFonts w:hint="default" w:ascii="宋体" w:hAnsi="宋体"/>
          <w:b/>
          <w:sz w:val="36"/>
          <w:szCs w:val="36"/>
          <w:lang w:val="en-US" w:eastAsia="zh-CN"/>
        </w:rPr>
      </w:pPr>
    </w:p>
    <w:p>
      <w:pPr>
        <w:jc w:val="center"/>
        <w:rPr>
          <w:rFonts w:hint="default" w:ascii="宋体" w:hAnsi="宋体"/>
          <w:b/>
          <w:sz w:val="36"/>
          <w:szCs w:val="36"/>
          <w:lang w:val="en-US" w:eastAsia="zh-CN"/>
        </w:rPr>
      </w:pPr>
    </w:p>
    <w:p>
      <w:pPr>
        <w:jc w:val="center"/>
        <w:rPr>
          <w:rFonts w:hint="default" w:ascii="宋体" w:hAnsi="宋体"/>
          <w:b/>
          <w:sz w:val="36"/>
          <w:szCs w:val="36"/>
          <w:lang w:val="en-US" w:eastAsia="zh-CN"/>
        </w:rPr>
      </w:pPr>
    </w:p>
    <w:p>
      <w:pPr>
        <w:jc w:val="center"/>
        <w:rPr>
          <w:rFonts w:hint="default" w:ascii="宋体" w:hAnsi="宋体"/>
          <w:b/>
          <w:sz w:val="36"/>
          <w:szCs w:val="36"/>
          <w:lang w:val="en-US" w:eastAsia="zh-CN"/>
        </w:rPr>
      </w:pPr>
    </w:p>
    <w:p>
      <w:pPr>
        <w:jc w:val="center"/>
        <w:rPr>
          <w:rFonts w:hint="default" w:ascii="宋体" w:hAnsi="宋体"/>
          <w:b/>
          <w:sz w:val="36"/>
          <w:szCs w:val="36"/>
          <w:lang w:val="en-US" w:eastAsia="zh-CN"/>
        </w:rPr>
      </w:pPr>
    </w:p>
    <w:p>
      <w:pPr>
        <w:jc w:val="center"/>
        <w:rPr>
          <w:rFonts w:hint="default" w:ascii="宋体" w:hAnsi="宋体"/>
          <w:b/>
          <w:sz w:val="36"/>
          <w:szCs w:val="36"/>
          <w:lang w:val="en-US" w:eastAsia="zh-CN"/>
        </w:rPr>
      </w:pPr>
    </w:p>
    <w:p>
      <w:pPr>
        <w:jc w:val="center"/>
        <w:rPr>
          <w:rFonts w:hint="default" w:ascii="宋体" w:hAnsi="宋体"/>
          <w:b/>
          <w:sz w:val="36"/>
          <w:szCs w:val="36"/>
          <w:lang w:val="en-US" w:eastAsia="zh-CN"/>
        </w:rPr>
      </w:pPr>
    </w:p>
    <w:p>
      <w:pPr>
        <w:jc w:val="center"/>
        <w:rPr>
          <w:rFonts w:hint="default" w:ascii="宋体" w:hAnsi="宋体"/>
          <w:b/>
          <w:sz w:val="36"/>
          <w:szCs w:val="36"/>
          <w:lang w:val="en-US" w:eastAsia="zh-CN"/>
        </w:rPr>
      </w:pPr>
    </w:p>
    <w:p>
      <w:pPr>
        <w:jc w:val="center"/>
        <w:rPr>
          <w:rFonts w:hint="default" w:ascii="宋体" w:hAnsi="宋体"/>
          <w:b/>
          <w:sz w:val="36"/>
          <w:szCs w:val="36"/>
          <w:lang w:val="en-US" w:eastAsia="zh-CN"/>
        </w:rPr>
      </w:pPr>
    </w:p>
    <w:p>
      <w:pPr>
        <w:jc w:val="center"/>
        <w:rPr>
          <w:rFonts w:hint="default" w:ascii="宋体" w:hAnsi="宋体"/>
          <w:b/>
          <w:sz w:val="36"/>
          <w:szCs w:val="36"/>
          <w:lang w:val="en-US" w:eastAsia="zh-CN"/>
        </w:rPr>
      </w:pPr>
    </w:p>
    <w:p>
      <w:pPr>
        <w:jc w:val="both"/>
        <w:rPr>
          <w:rFonts w:hint="default" w:ascii="宋体" w:hAnsi="宋体"/>
          <w:b/>
          <w:sz w:val="36"/>
          <w:szCs w:val="36"/>
          <w:lang w:val="en-US" w:eastAsia="zh-CN"/>
        </w:rPr>
      </w:pPr>
    </w:p>
    <w:p>
      <w:pPr>
        <w:jc w:val="both"/>
        <w:rPr>
          <w:rFonts w:hint="default" w:ascii="宋体" w:hAnsi="宋体"/>
          <w:b/>
          <w:sz w:val="36"/>
          <w:szCs w:val="36"/>
          <w:lang w:val="en-US" w:eastAsia="zh-CN"/>
        </w:rPr>
      </w:pPr>
    </w:p>
    <w:p>
      <w:pPr>
        <w:jc w:val="both"/>
        <w:rPr>
          <w:rFonts w:hint="default" w:ascii="宋体" w:hAnsi="宋体"/>
          <w:b/>
          <w:sz w:val="36"/>
          <w:szCs w:val="36"/>
          <w:lang w:val="en-US" w:eastAsia="zh-CN"/>
        </w:rPr>
      </w:pPr>
    </w:p>
    <w:p>
      <w:pPr>
        <w:jc w:val="both"/>
        <w:rPr>
          <w:rFonts w:hint="default" w:ascii="宋体" w:hAnsi="宋体"/>
          <w:b/>
          <w:sz w:val="36"/>
          <w:szCs w:val="36"/>
          <w:lang w:val="en-US" w:eastAsia="zh-CN"/>
        </w:rPr>
      </w:pPr>
    </w:p>
    <w:p>
      <w:pPr>
        <w:jc w:val="both"/>
        <w:rPr>
          <w:rFonts w:hint="default" w:ascii="宋体" w:hAnsi="宋体"/>
          <w:b/>
          <w:sz w:val="36"/>
          <w:szCs w:val="36"/>
          <w:lang w:val="en-US" w:eastAsia="zh-CN"/>
        </w:rPr>
      </w:pPr>
    </w:p>
    <w:p>
      <w:pPr>
        <w:jc w:val="both"/>
        <w:rPr>
          <w:rFonts w:hint="default" w:ascii="宋体" w:hAnsi="宋体"/>
          <w:b/>
          <w:sz w:val="36"/>
          <w:szCs w:val="36"/>
          <w:lang w:val="en-US" w:eastAsia="zh-CN"/>
        </w:rPr>
      </w:pPr>
    </w:p>
    <w:p>
      <w:pPr>
        <w:spacing w:line="320" w:lineRule="exact"/>
        <w:ind w:right="120"/>
        <w:jc w:val="center"/>
        <w:rPr>
          <w:rFonts w:ascii="宋体" w:hAnsi="宋体"/>
          <w:b/>
          <w:sz w:val="28"/>
        </w:rPr>
      </w:pPr>
    </w:p>
    <w:p>
      <w:pPr>
        <w:spacing w:line="320" w:lineRule="exact"/>
        <w:ind w:right="120"/>
        <w:jc w:val="center"/>
        <w:rPr>
          <w:rFonts w:ascii="宋体" w:hAnsi="宋体"/>
          <w:b/>
          <w:sz w:val="28"/>
        </w:rPr>
      </w:pPr>
    </w:p>
    <w:p>
      <w:pPr>
        <w:spacing w:line="320" w:lineRule="exact"/>
        <w:ind w:right="120"/>
        <w:jc w:val="center"/>
        <w:rPr>
          <w:rFonts w:ascii="宋体" w:hAnsi="宋体"/>
          <w:b/>
          <w:sz w:val="28"/>
        </w:rPr>
      </w:pPr>
    </w:p>
    <w:p>
      <w:pPr>
        <w:spacing w:line="320" w:lineRule="exact"/>
        <w:ind w:right="120"/>
        <w:jc w:val="center"/>
        <w:rPr>
          <w:rFonts w:ascii="宋体" w:hAnsi="宋体"/>
          <w:b/>
          <w:sz w:val="28"/>
        </w:rPr>
      </w:pPr>
    </w:p>
    <w:p>
      <w:pPr>
        <w:spacing w:line="320" w:lineRule="exact"/>
        <w:ind w:right="120"/>
        <w:jc w:val="center"/>
        <w:rPr>
          <w:rFonts w:ascii="宋体" w:hAnsi="宋体"/>
          <w:b/>
          <w:sz w:val="28"/>
        </w:rPr>
      </w:pPr>
    </w:p>
    <w:p>
      <w:pPr>
        <w:spacing w:line="320" w:lineRule="exact"/>
        <w:ind w:right="120" w:firstLine="3092" w:firstLineChars="1100"/>
        <w:jc w:val="both"/>
        <w:rPr>
          <w:rFonts w:ascii="宋体" w:hAnsi="宋体"/>
          <w:b/>
          <w:sz w:val="28"/>
        </w:rPr>
      </w:pPr>
      <w:r>
        <w:rPr>
          <w:rFonts w:ascii="宋体" w:hAnsi="宋体"/>
          <w:b/>
          <w:sz w:val="28"/>
        </w:rPr>
        <w:t>维修工程施工方案及结算流程</w:t>
      </w:r>
    </w:p>
    <w:p>
      <w:pPr>
        <w:spacing w:line="104" w:lineRule="exact"/>
        <w:rPr>
          <w:rFonts w:ascii="Times New Roman" w:hAnsi="Times New Roman" w:eastAsia="Times New Roman"/>
        </w:rPr>
      </w:pPr>
    </w:p>
    <w:p>
      <w:pPr>
        <w:spacing w:line="20" w:lineRule="exact"/>
        <w:rPr>
          <w:rFonts w:ascii="Times New Roman" w:hAnsi="Times New Roman" w:eastAsia="Times New Roman"/>
        </w:rPr>
      </w:pPr>
    </w:p>
    <w:p>
      <w:pPr>
        <w:spacing w:line="200" w:lineRule="exact"/>
        <w:rPr>
          <w:rFonts w:ascii="Times New Roman" w:hAnsi="Times New Roman" w:eastAsia="Times New Roman"/>
        </w:rPr>
      </w:pPr>
      <w:r>
        <w:rPr>
          <w:rFonts w:ascii="宋体" w:hAnsi="宋体"/>
          <w:sz w:val="24"/>
        </w:rPr>
        <w:drawing>
          <wp:anchor distT="0" distB="0" distL="114300" distR="114300" simplePos="0" relativeHeight="251662336" behindDoc="1" locked="0" layoutInCell="0" allowOverlap="1">
            <wp:simplePos x="0" y="0"/>
            <wp:positionH relativeFrom="column">
              <wp:posOffset>1231900</wp:posOffset>
            </wp:positionH>
            <wp:positionV relativeFrom="paragraph">
              <wp:posOffset>101600</wp:posOffset>
            </wp:positionV>
            <wp:extent cx="4373245" cy="7671435"/>
            <wp:effectExtent l="0" t="0" r="8255" b="5715"/>
            <wp:wrapNone/>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8"/>
                    <a:stretch>
                      <a:fillRect/>
                    </a:stretch>
                  </pic:blipFill>
                  <pic:spPr>
                    <a:xfrm>
                      <a:off x="0" y="0"/>
                      <a:ext cx="4373245" cy="7671435"/>
                    </a:xfrm>
                    <a:prstGeom prst="rect">
                      <a:avLst/>
                    </a:prstGeom>
                    <a:noFill/>
                    <a:ln>
                      <a:noFill/>
                    </a:ln>
                  </pic:spPr>
                </pic:pic>
              </a:graphicData>
            </a:graphic>
          </wp:anchor>
        </w:drawing>
      </w:r>
    </w:p>
    <w:p>
      <w:pPr>
        <w:spacing w:line="203" w:lineRule="exact"/>
        <w:rPr>
          <w:rFonts w:ascii="Times New Roman" w:hAnsi="Times New Roman" w:eastAsia="Times New Roman"/>
        </w:rPr>
      </w:pPr>
    </w:p>
    <w:p>
      <w:pPr>
        <w:spacing w:line="256" w:lineRule="exact"/>
        <w:ind w:left="3800"/>
        <w:rPr>
          <w:rFonts w:ascii="宋体" w:hAnsi="宋体"/>
          <w:sz w:val="21"/>
        </w:rPr>
      </w:pPr>
      <w:r>
        <w:rPr>
          <w:rFonts w:ascii="Times New Roman" w:hAnsi="Times New Roman" w:eastAsia="Times New Roman"/>
          <w:sz w:val="21"/>
        </w:rPr>
        <w:t>1.</w:t>
      </w:r>
      <w:r>
        <w:rPr>
          <w:rFonts w:ascii="宋体" w:hAnsi="宋体"/>
          <w:sz w:val="21"/>
        </w:rPr>
        <w:t>维修工程项目施工及方案</w: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24" w:lineRule="exact"/>
        <w:rPr>
          <w:rFonts w:ascii="Times New Roman" w:hAnsi="Times New Roman" w:eastAsia="Times New Roman"/>
        </w:rPr>
      </w:pPr>
    </w:p>
    <w:p>
      <w:pPr>
        <w:spacing w:line="523" w:lineRule="exact"/>
        <w:ind w:left="4260"/>
        <w:rPr>
          <w:rFonts w:ascii="宋体" w:hAnsi="宋体"/>
          <w:sz w:val="35"/>
          <w:vertAlign w:val="superscript"/>
        </w:rPr>
      </w:pPr>
      <w:r>
        <w:rPr>
          <w:rFonts w:ascii="Times New Roman" w:hAnsi="Times New Roman" w:eastAsia="Times New Roman"/>
          <w:sz w:val="18"/>
        </w:rPr>
        <w:t>2.</w:t>
      </w:r>
      <w:r>
        <w:rPr>
          <w:rFonts w:ascii="宋体" w:hAnsi="宋体"/>
          <w:sz w:val="18"/>
        </w:rPr>
        <w:t xml:space="preserve">报中心领导审批通过  </w:t>
      </w:r>
      <w:r>
        <w:rPr>
          <w:rFonts w:ascii="宋体" w:hAnsi="宋体"/>
          <w:sz w:val="18"/>
        </w:rPr>
        <w:drawing>
          <wp:inline distT="0" distB="0" distL="114300" distR="114300">
            <wp:extent cx="855345" cy="300355"/>
            <wp:effectExtent l="0" t="0" r="1905" b="4445"/>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9"/>
                    <a:stretch>
                      <a:fillRect/>
                    </a:stretch>
                  </pic:blipFill>
                  <pic:spPr>
                    <a:xfrm>
                      <a:off x="0" y="0"/>
                      <a:ext cx="855345" cy="300355"/>
                    </a:xfrm>
                    <a:prstGeom prst="rect">
                      <a:avLst/>
                    </a:prstGeom>
                    <a:noFill/>
                    <a:ln>
                      <a:noFill/>
                    </a:ln>
                  </pic:spPr>
                </pic:pic>
              </a:graphicData>
            </a:graphic>
          </wp:inline>
        </w:drawing>
      </w:r>
      <w:r>
        <w:rPr>
          <w:rFonts w:ascii="宋体" w:hAnsi="宋体"/>
          <w:sz w:val="35"/>
          <w:vertAlign w:val="superscript"/>
        </w:rPr>
        <w:t xml:space="preserve"> 向用户通</w:t>
      </w:r>
    </w:p>
    <w:p>
      <w:pPr>
        <w:spacing w:line="156" w:lineRule="exact"/>
        <w:ind w:left="8000"/>
        <w:rPr>
          <w:rFonts w:ascii="宋体" w:hAnsi="宋体"/>
          <w:sz w:val="18"/>
        </w:rPr>
      </w:pPr>
      <w:r>
        <w:rPr>
          <w:rFonts w:ascii="宋体" w:hAnsi="宋体"/>
          <w:sz w:val="18"/>
        </w:rPr>
        <w:t>报</w:t>
      </w:r>
    </w:p>
    <w:p>
      <w:pPr>
        <w:spacing w:line="156" w:lineRule="exact"/>
        <w:ind w:left="6640"/>
        <w:rPr>
          <w:rFonts w:ascii="宋体" w:hAnsi="宋体"/>
          <w:sz w:val="18"/>
        </w:rPr>
      </w:pPr>
      <w:r>
        <w:rPr>
          <w:rFonts w:ascii="宋体" w:hAnsi="宋体"/>
          <w:sz w:val="18"/>
        </w:rPr>
        <w:t>未通过</w:t>
      </w:r>
    </w:p>
    <w:p>
      <w:pPr>
        <w:spacing w:line="179" w:lineRule="exact"/>
        <w:ind w:left="5380"/>
        <w:rPr>
          <w:rFonts w:ascii="宋体" w:hAnsi="宋体"/>
          <w:sz w:val="18"/>
        </w:rPr>
      </w:pPr>
      <w:r>
        <w:rPr>
          <w:rFonts w:ascii="宋体" w:hAnsi="宋体"/>
          <w:sz w:val="18"/>
        </w:rPr>
        <w:t>通过</w:t>
      </w:r>
    </w:p>
    <w:p>
      <w:pPr>
        <w:spacing w:line="355" w:lineRule="exact"/>
        <w:rPr>
          <w:rFonts w:ascii="Times New Roman" w:hAnsi="Times New Roman" w:eastAsia="Times New Roman"/>
        </w:rPr>
      </w:pPr>
    </w:p>
    <w:p>
      <w:pPr>
        <w:numPr>
          <w:ilvl w:val="0"/>
          <w:numId w:val="1"/>
        </w:numPr>
        <w:tabs>
          <w:tab w:val="left" w:pos="4440"/>
        </w:tabs>
        <w:spacing w:line="219" w:lineRule="exact"/>
        <w:ind w:left="4440" w:hanging="233"/>
        <w:rPr>
          <w:rFonts w:ascii="Times New Roman" w:hAnsi="Times New Roman" w:eastAsia="Times New Roman"/>
          <w:sz w:val="18"/>
        </w:rPr>
      </w:pPr>
      <w:r>
        <w:rPr>
          <w:rFonts w:ascii="宋体" w:hAnsi="宋体"/>
          <w:sz w:val="18"/>
        </w:rPr>
        <w:t>安排有关人员施工</w: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83" w:lineRule="exact"/>
        <w:rPr>
          <w:rFonts w:ascii="Times New Roman" w:hAnsi="Times New Roman" w:eastAsia="Times New Roman"/>
        </w:rPr>
      </w:pPr>
    </w:p>
    <w:p>
      <w:pPr>
        <w:spacing w:line="206" w:lineRule="exact"/>
        <w:ind w:right="1020"/>
        <w:jc w:val="right"/>
        <w:rPr>
          <w:rFonts w:ascii="宋体" w:hAnsi="宋体"/>
          <w:sz w:val="18"/>
        </w:rPr>
      </w:pPr>
      <w:r>
        <w:rPr>
          <w:rFonts w:ascii="宋体" w:hAnsi="宋体"/>
          <w:sz w:val="18"/>
        </w:rPr>
        <w:t>争取用</w:t>
      </w:r>
    </w:p>
    <w:p>
      <w:pPr>
        <w:spacing w:line="188" w:lineRule="exact"/>
        <w:ind w:left="4220"/>
        <w:rPr>
          <w:rFonts w:ascii="宋体" w:hAnsi="宋体"/>
          <w:sz w:val="18"/>
        </w:rPr>
      </w:pPr>
      <w:r>
        <w:rPr>
          <w:rFonts w:ascii="Times New Roman" w:hAnsi="Times New Roman" w:eastAsia="Times New Roman"/>
          <w:sz w:val="18"/>
        </w:rPr>
        <w:t>4.</w:t>
      </w:r>
      <w:r>
        <w:rPr>
          <w:rFonts w:ascii="宋体" w:hAnsi="宋体"/>
          <w:sz w:val="18"/>
        </w:rPr>
        <w:t>施工进度及质量监理</w:t>
      </w:r>
    </w:p>
    <w:p>
      <w:pPr>
        <w:spacing w:line="156" w:lineRule="exact"/>
        <w:ind w:right="1020"/>
        <w:jc w:val="right"/>
        <w:rPr>
          <w:rFonts w:ascii="宋体" w:hAnsi="宋体"/>
          <w:sz w:val="18"/>
        </w:rPr>
      </w:pPr>
      <w:r>
        <w:rPr>
          <w:rFonts w:ascii="宋体" w:hAnsi="宋体"/>
          <w:sz w:val="18"/>
        </w:rPr>
        <w:t>户意见</w:t>
      </w:r>
    </w:p>
    <w:p>
      <w:pPr>
        <w:spacing w:line="179" w:lineRule="exact"/>
        <w:ind w:left="7000"/>
        <w:rPr>
          <w:rFonts w:ascii="宋体" w:hAnsi="宋体"/>
          <w:sz w:val="18"/>
        </w:rPr>
      </w:pPr>
      <w:r>
        <w:rPr>
          <w:rFonts w:ascii="宋体" w:hAnsi="宋体"/>
          <w:sz w:val="18"/>
        </w:rPr>
        <w:t>未通过</w:t>
      </w:r>
    </w:p>
    <w:p>
      <w:pPr>
        <w:spacing w:line="263" w:lineRule="exact"/>
        <w:rPr>
          <w:rFonts w:ascii="Times New Roman" w:hAnsi="Times New Roman" w:eastAsia="Times New Roman"/>
        </w:rPr>
      </w:pPr>
    </w:p>
    <w:p>
      <w:pPr>
        <w:spacing w:line="206" w:lineRule="exact"/>
        <w:ind w:left="6820"/>
        <w:rPr>
          <w:rFonts w:ascii="宋体" w:hAnsi="宋体"/>
          <w:sz w:val="18"/>
        </w:rPr>
      </w:pPr>
      <w:r>
        <w:rPr>
          <w:rFonts w:ascii="宋体" w:hAnsi="宋体"/>
          <w:sz w:val="18"/>
        </w:rPr>
        <w:t>通过</w:t>
      </w:r>
    </w:p>
    <w:p>
      <w:pPr>
        <w:spacing w:line="223" w:lineRule="exact"/>
        <w:rPr>
          <w:rFonts w:ascii="Times New Roman" w:hAnsi="Times New Roman" w:eastAsia="Times New Roman"/>
        </w:rPr>
      </w:pPr>
    </w:p>
    <w:p>
      <w:pPr>
        <w:numPr>
          <w:ilvl w:val="0"/>
          <w:numId w:val="2"/>
        </w:numPr>
        <w:tabs>
          <w:tab w:val="left" w:pos="3740"/>
        </w:tabs>
        <w:spacing w:line="219" w:lineRule="exact"/>
        <w:ind w:left="3740" w:hanging="142"/>
        <w:rPr>
          <w:rFonts w:ascii="Times New Roman" w:hAnsi="Times New Roman" w:eastAsia="Times New Roman"/>
          <w:sz w:val="18"/>
        </w:rPr>
      </w:pPr>
      <w:r>
        <w:rPr>
          <w:rFonts w:ascii="宋体" w:hAnsi="宋体"/>
          <w:sz w:val="18"/>
        </w:rPr>
        <w:t>根据进度验收工程</w:t>
      </w:r>
      <w:r>
        <w:rPr>
          <w:rFonts w:ascii="Times New Roman" w:hAnsi="Times New Roman" w:eastAsia="Times New Roman"/>
          <w:sz w:val="18"/>
        </w:rPr>
        <w:t>.</w:t>
      </w:r>
      <w:r>
        <w:rPr>
          <w:rFonts w:ascii="宋体" w:hAnsi="宋体"/>
          <w:sz w:val="18"/>
        </w:rPr>
        <w:t>量（隐蔽工程）</w:t>
      </w:r>
    </w:p>
    <w:p>
      <w:pPr>
        <w:spacing w:line="111" w:lineRule="exact"/>
        <w:rPr>
          <w:rFonts w:ascii="Times New Roman" w:hAnsi="Times New Roman" w:eastAsia="Times New Roman"/>
        </w:rPr>
      </w:pPr>
    </w:p>
    <w:p>
      <w:pPr>
        <w:spacing w:line="206" w:lineRule="exact"/>
        <w:ind w:left="7720"/>
        <w:rPr>
          <w:rFonts w:ascii="宋体" w:hAnsi="宋体"/>
          <w:sz w:val="18"/>
        </w:rPr>
      </w:pPr>
      <w:r>
        <w:rPr>
          <w:rFonts w:ascii="宋体" w:hAnsi="宋体"/>
          <w:sz w:val="18"/>
        </w:rPr>
        <w:t>不合格</w:t>
      </w:r>
    </w:p>
    <w:p>
      <w:pPr>
        <w:spacing w:line="178" w:lineRule="exact"/>
        <w:ind w:left="6460"/>
        <w:rPr>
          <w:rFonts w:ascii="宋体" w:hAnsi="宋体"/>
          <w:sz w:val="18"/>
        </w:rPr>
      </w:pPr>
      <w:r>
        <w:rPr>
          <w:rFonts w:ascii="宋体" w:hAnsi="宋体"/>
          <w:sz w:val="18"/>
        </w:rPr>
        <w:t>合格</w:t>
      </w:r>
    </w:p>
    <w:p>
      <w:pPr>
        <w:spacing w:line="322" w:lineRule="exact"/>
        <w:rPr>
          <w:rFonts w:ascii="Times New Roman" w:hAnsi="Times New Roman" w:eastAsia="Times New Roman"/>
        </w:rPr>
      </w:pPr>
    </w:p>
    <w:p>
      <w:pPr>
        <w:spacing w:line="206" w:lineRule="exact"/>
        <w:ind w:left="5560"/>
        <w:rPr>
          <w:rFonts w:ascii="宋体" w:hAnsi="宋体"/>
          <w:sz w:val="18"/>
        </w:rPr>
      </w:pPr>
      <w:r>
        <w:rPr>
          <w:rFonts w:ascii="宋体" w:hAnsi="宋体"/>
          <w:sz w:val="18"/>
        </w:rPr>
        <w:t>培训合格</w:t>
      </w:r>
    </w:p>
    <w:p>
      <w:pPr>
        <w:spacing w:line="208" w:lineRule="exact"/>
        <w:ind w:left="4160"/>
        <w:rPr>
          <w:rFonts w:ascii="宋体" w:hAnsi="宋体"/>
          <w:sz w:val="18"/>
        </w:rPr>
      </w:pPr>
      <w:r>
        <w:rPr>
          <w:rFonts w:ascii="Times New Roman" w:hAnsi="Times New Roman" w:eastAsia="Times New Roman"/>
          <w:sz w:val="18"/>
        </w:rPr>
        <w:t>6.</w:t>
      </w:r>
      <w:r>
        <w:rPr>
          <w:rFonts w:ascii="宋体" w:hAnsi="宋体"/>
          <w:sz w:val="18"/>
        </w:rPr>
        <w:t>施工管理资料检查</w: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48" w:lineRule="exact"/>
        <w:rPr>
          <w:rFonts w:ascii="Times New Roman" w:hAnsi="Times New Roman" w:eastAsia="Times New Roman"/>
        </w:rPr>
      </w:pPr>
    </w:p>
    <w:p>
      <w:pPr>
        <w:numPr>
          <w:ilvl w:val="0"/>
          <w:numId w:val="3"/>
        </w:numPr>
        <w:tabs>
          <w:tab w:val="left" w:pos="4554"/>
        </w:tabs>
        <w:spacing w:line="209" w:lineRule="exact"/>
        <w:ind w:left="4300" w:right="3880" w:firstLine="97"/>
        <w:rPr>
          <w:rFonts w:ascii="Times New Roman" w:hAnsi="Times New Roman" w:eastAsia="Times New Roman"/>
          <w:sz w:val="18"/>
        </w:rPr>
      </w:pPr>
      <w:r>
        <w:rPr>
          <w:rFonts w:ascii="宋体" w:hAnsi="宋体"/>
          <w:sz w:val="18"/>
        </w:rPr>
        <w:t>会同工程科进行工程竣工验收</w: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359" w:lineRule="exact"/>
        <w:rPr>
          <w:rFonts w:ascii="Times New Roman" w:hAnsi="Times New Roman" w:eastAsia="Times New Roman"/>
        </w:rPr>
      </w:pPr>
    </w:p>
    <w:p>
      <w:pPr>
        <w:spacing w:line="219" w:lineRule="exact"/>
        <w:ind w:right="-419"/>
        <w:jc w:val="center"/>
        <w:rPr>
          <w:rFonts w:ascii="宋体" w:hAnsi="宋体"/>
          <w:sz w:val="18"/>
        </w:rPr>
      </w:pPr>
      <w:r>
        <w:rPr>
          <w:rFonts w:ascii="Times New Roman" w:hAnsi="Times New Roman" w:eastAsia="Times New Roman"/>
          <w:sz w:val="18"/>
        </w:rPr>
        <w:t>8.</w:t>
      </w:r>
      <w:r>
        <w:rPr>
          <w:rFonts w:ascii="宋体" w:hAnsi="宋体"/>
          <w:sz w:val="18"/>
        </w:rPr>
        <w:t>上报后勤工程科结算书及相关资料审计、</w:t>
      </w:r>
    </w:p>
    <w:p>
      <w:pPr>
        <w:spacing w:line="92" w:lineRule="exact"/>
        <w:rPr>
          <w:rFonts w:ascii="Times New Roman" w:hAnsi="Times New Roman" w:eastAsia="Times New Roman"/>
        </w:rPr>
      </w:pPr>
    </w:p>
    <w:p>
      <w:pPr>
        <w:spacing w:line="206" w:lineRule="exact"/>
        <w:ind w:right="-419"/>
        <w:jc w:val="center"/>
        <w:rPr>
          <w:rFonts w:ascii="宋体" w:hAnsi="宋体"/>
          <w:sz w:val="18"/>
        </w:rPr>
      </w:pPr>
      <w:r>
        <w:rPr>
          <w:rFonts w:ascii="宋体" w:hAnsi="宋体"/>
          <w:sz w:val="18"/>
        </w:rPr>
        <w:t>审结</w: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394" w:lineRule="exact"/>
        <w:rPr>
          <w:rFonts w:ascii="Times New Roman" w:hAnsi="Times New Roman" w:eastAsia="Times New Roman"/>
        </w:rPr>
      </w:pPr>
    </w:p>
    <w:tbl>
      <w:tblPr>
        <w:tblStyle w:val="4"/>
        <w:tblW w:w="0" w:type="auto"/>
        <w:tblInd w:w="3760" w:type="dxa"/>
        <w:tblLayout w:type="fixed"/>
        <w:tblCellMar>
          <w:top w:w="0" w:type="dxa"/>
          <w:left w:w="0" w:type="dxa"/>
          <w:bottom w:w="0" w:type="dxa"/>
          <w:right w:w="0" w:type="dxa"/>
        </w:tblCellMar>
      </w:tblPr>
      <w:tblGrid>
        <w:gridCol w:w="2360"/>
        <w:gridCol w:w="720"/>
        <w:gridCol w:w="1100"/>
        <w:gridCol w:w="900"/>
      </w:tblGrid>
      <w:tr>
        <w:tblPrEx>
          <w:tblCellMar>
            <w:top w:w="0" w:type="dxa"/>
            <w:left w:w="0" w:type="dxa"/>
            <w:bottom w:w="0" w:type="dxa"/>
            <w:right w:w="0" w:type="dxa"/>
          </w:tblCellMar>
        </w:tblPrEx>
        <w:trPr>
          <w:trHeight w:val="392" w:hRule="atLeast"/>
        </w:trPr>
        <w:tc>
          <w:tcPr>
            <w:tcW w:w="3080" w:type="dxa"/>
            <w:gridSpan w:val="2"/>
            <w:shd w:val="clear" w:color="auto" w:fill="auto"/>
            <w:noWrap w:val="0"/>
            <w:vAlign w:val="bottom"/>
          </w:tcPr>
          <w:p>
            <w:pPr>
              <w:spacing w:line="219" w:lineRule="exact"/>
              <w:ind w:right="430"/>
              <w:jc w:val="center"/>
              <w:rPr>
                <w:rFonts w:ascii="宋体" w:hAnsi="宋体"/>
                <w:sz w:val="18"/>
              </w:rPr>
            </w:pPr>
            <w:r>
              <w:rPr>
                <w:rFonts w:ascii="宋体" w:hAnsi="宋体"/>
                <w:sz w:val="18"/>
              </w:rPr>
              <w:t>9. 按学校财务规定进行工</w:t>
            </w:r>
          </w:p>
        </w:tc>
        <w:tc>
          <w:tcPr>
            <w:tcW w:w="1100" w:type="dxa"/>
            <w:tcBorders>
              <w:right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900" w:type="dxa"/>
            <w:tcBorders>
              <w:top w:val="single" w:color="auto" w:sz="8" w:space="0"/>
              <w:right w:val="single" w:color="auto" w:sz="8" w:space="0"/>
            </w:tcBorders>
            <w:shd w:val="clear" w:color="auto" w:fill="auto"/>
            <w:noWrap w:val="0"/>
            <w:vAlign w:val="bottom"/>
          </w:tcPr>
          <w:p>
            <w:pPr>
              <w:spacing w:line="206" w:lineRule="exact"/>
              <w:ind w:left="180"/>
              <w:rPr>
                <w:rFonts w:ascii="宋体" w:hAnsi="宋体"/>
                <w:sz w:val="18"/>
              </w:rPr>
            </w:pPr>
            <w:r>
              <w:rPr>
                <w:rFonts w:ascii="宋体" w:hAnsi="宋体"/>
                <w:sz w:val="18"/>
              </w:rPr>
              <w:t>领导签</w:t>
            </w:r>
          </w:p>
        </w:tc>
      </w:tr>
      <w:tr>
        <w:tblPrEx>
          <w:tblCellMar>
            <w:top w:w="0" w:type="dxa"/>
            <w:left w:w="0" w:type="dxa"/>
            <w:bottom w:w="0" w:type="dxa"/>
            <w:right w:w="0" w:type="dxa"/>
          </w:tblCellMar>
        </w:tblPrEx>
        <w:trPr>
          <w:trHeight w:val="210" w:hRule="atLeast"/>
        </w:trPr>
        <w:tc>
          <w:tcPr>
            <w:tcW w:w="3080" w:type="dxa"/>
            <w:gridSpan w:val="2"/>
            <w:shd w:val="clear" w:color="auto" w:fill="auto"/>
            <w:noWrap w:val="0"/>
            <w:vAlign w:val="bottom"/>
          </w:tcPr>
          <w:p>
            <w:pPr>
              <w:spacing w:line="206" w:lineRule="exact"/>
              <w:ind w:right="430"/>
              <w:jc w:val="center"/>
              <w:rPr>
                <w:rFonts w:ascii="宋体" w:hAnsi="宋体"/>
                <w:w w:val="99"/>
                <w:sz w:val="18"/>
              </w:rPr>
            </w:pPr>
            <w:r>
              <w:rPr>
                <w:rFonts w:ascii="宋体" w:hAnsi="宋体"/>
                <w:w w:val="99"/>
                <w:sz w:val="18"/>
              </w:rPr>
              <w:t>程结算转账到中心财务</w:t>
            </w:r>
          </w:p>
        </w:tc>
        <w:tc>
          <w:tcPr>
            <w:tcW w:w="1100" w:type="dxa"/>
            <w:vMerge w:val="restart"/>
            <w:tcBorders>
              <w:right w:val="single" w:color="auto" w:sz="8" w:space="0"/>
            </w:tcBorders>
            <w:shd w:val="clear" w:color="auto" w:fill="auto"/>
            <w:noWrap w:val="0"/>
            <w:vAlign w:val="bottom"/>
          </w:tcPr>
          <w:p>
            <w:pPr>
              <w:spacing w:line="206" w:lineRule="exact"/>
              <w:ind w:left="340"/>
              <w:rPr>
                <w:rFonts w:ascii="宋体" w:hAnsi="宋体"/>
                <w:sz w:val="18"/>
              </w:rPr>
            </w:pPr>
            <w:r>
              <w:rPr>
                <w:rFonts w:ascii="宋体" w:hAnsi="宋体"/>
                <w:sz w:val="18"/>
              </w:rPr>
              <w:t>未通过</w:t>
            </w:r>
          </w:p>
        </w:tc>
        <w:tc>
          <w:tcPr>
            <w:tcW w:w="900" w:type="dxa"/>
            <w:vMerge w:val="restart"/>
            <w:tcBorders>
              <w:right w:val="single" w:color="auto" w:sz="8" w:space="0"/>
            </w:tcBorders>
            <w:shd w:val="clear" w:color="auto" w:fill="auto"/>
            <w:noWrap w:val="0"/>
            <w:vAlign w:val="bottom"/>
          </w:tcPr>
          <w:p>
            <w:pPr>
              <w:spacing w:line="206" w:lineRule="exact"/>
              <w:ind w:left="180"/>
              <w:rPr>
                <w:rFonts w:ascii="宋体" w:hAnsi="宋体"/>
                <w:sz w:val="18"/>
              </w:rPr>
            </w:pPr>
            <w:r>
              <w:rPr>
                <w:rFonts w:ascii="宋体" w:hAnsi="宋体"/>
                <w:sz w:val="18"/>
              </w:rPr>
              <w:t>字审核</w:t>
            </w:r>
          </w:p>
        </w:tc>
      </w:tr>
      <w:tr>
        <w:tblPrEx>
          <w:tblCellMar>
            <w:top w:w="0" w:type="dxa"/>
            <w:left w:w="0" w:type="dxa"/>
            <w:bottom w:w="0" w:type="dxa"/>
            <w:right w:w="0" w:type="dxa"/>
          </w:tblCellMar>
        </w:tblPrEx>
        <w:trPr>
          <w:trHeight w:val="82" w:hRule="atLeast"/>
        </w:trPr>
        <w:tc>
          <w:tcPr>
            <w:tcW w:w="2360" w:type="dxa"/>
            <w:shd w:val="clear" w:color="auto" w:fill="auto"/>
            <w:noWrap w:val="0"/>
            <w:vAlign w:val="bottom"/>
          </w:tcPr>
          <w:p>
            <w:pPr>
              <w:spacing w:line="0" w:lineRule="atLeast"/>
              <w:rPr>
                <w:rFonts w:ascii="Times New Roman" w:hAnsi="Times New Roman" w:eastAsia="Times New Roman"/>
                <w:sz w:val="7"/>
              </w:rPr>
            </w:pPr>
          </w:p>
        </w:tc>
        <w:tc>
          <w:tcPr>
            <w:tcW w:w="720" w:type="dxa"/>
            <w:shd w:val="clear" w:color="auto" w:fill="auto"/>
            <w:noWrap w:val="0"/>
            <w:vAlign w:val="bottom"/>
          </w:tcPr>
          <w:p>
            <w:pPr>
              <w:spacing w:line="0" w:lineRule="atLeast"/>
              <w:rPr>
                <w:rFonts w:ascii="Times New Roman" w:hAnsi="Times New Roman" w:eastAsia="Times New Roman"/>
                <w:sz w:val="7"/>
              </w:rPr>
            </w:pPr>
          </w:p>
        </w:tc>
        <w:tc>
          <w:tcPr>
            <w:tcW w:w="1100" w:type="dxa"/>
            <w:vMerge w:val="continue"/>
            <w:tcBorders>
              <w:right w:val="single" w:color="auto" w:sz="8" w:space="0"/>
            </w:tcBorders>
            <w:shd w:val="clear" w:color="auto" w:fill="auto"/>
            <w:noWrap w:val="0"/>
            <w:vAlign w:val="bottom"/>
          </w:tcPr>
          <w:p>
            <w:pPr>
              <w:spacing w:line="0" w:lineRule="atLeast"/>
              <w:rPr>
                <w:rFonts w:ascii="Times New Roman" w:hAnsi="Times New Roman" w:eastAsia="Times New Roman"/>
                <w:sz w:val="7"/>
              </w:rPr>
            </w:pPr>
          </w:p>
        </w:tc>
        <w:tc>
          <w:tcPr>
            <w:tcW w:w="900" w:type="dxa"/>
            <w:vMerge w:val="continue"/>
            <w:tcBorders>
              <w:right w:val="single" w:color="auto" w:sz="8" w:space="0"/>
            </w:tcBorders>
            <w:shd w:val="clear" w:color="auto" w:fill="auto"/>
            <w:noWrap w:val="0"/>
            <w:vAlign w:val="bottom"/>
          </w:tcPr>
          <w:p>
            <w:pPr>
              <w:spacing w:line="0" w:lineRule="atLeast"/>
              <w:rPr>
                <w:rFonts w:ascii="Times New Roman" w:hAnsi="Times New Roman" w:eastAsia="Times New Roman"/>
                <w:sz w:val="7"/>
              </w:rPr>
            </w:pPr>
          </w:p>
        </w:tc>
      </w:tr>
      <w:tr>
        <w:tblPrEx>
          <w:tblCellMar>
            <w:top w:w="0" w:type="dxa"/>
            <w:left w:w="0" w:type="dxa"/>
            <w:bottom w:w="0" w:type="dxa"/>
            <w:right w:w="0" w:type="dxa"/>
          </w:tblCellMar>
        </w:tblPrEx>
        <w:trPr>
          <w:trHeight w:val="62" w:hRule="atLeast"/>
        </w:trPr>
        <w:tc>
          <w:tcPr>
            <w:tcW w:w="2360" w:type="dxa"/>
            <w:shd w:val="clear" w:color="auto" w:fill="auto"/>
            <w:noWrap w:val="0"/>
            <w:vAlign w:val="bottom"/>
          </w:tcPr>
          <w:p>
            <w:pPr>
              <w:spacing w:line="0" w:lineRule="atLeast"/>
              <w:rPr>
                <w:rFonts w:ascii="Times New Roman" w:hAnsi="Times New Roman" w:eastAsia="Times New Roman"/>
                <w:sz w:val="5"/>
              </w:rPr>
            </w:pPr>
          </w:p>
        </w:tc>
        <w:tc>
          <w:tcPr>
            <w:tcW w:w="720" w:type="dxa"/>
            <w:shd w:val="clear" w:color="auto" w:fill="auto"/>
            <w:noWrap w:val="0"/>
            <w:vAlign w:val="bottom"/>
          </w:tcPr>
          <w:p>
            <w:pPr>
              <w:spacing w:line="0" w:lineRule="atLeast"/>
              <w:rPr>
                <w:rFonts w:ascii="Times New Roman" w:hAnsi="Times New Roman" w:eastAsia="Times New Roman"/>
                <w:sz w:val="5"/>
              </w:rPr>
            </w:pPr>
          </w:p>
        </w:tc>
        <w:tc>
          <w:tcPr>
            <w:tcW w:w="1100" w:type="dxa"/>
            <w:vMerge w:val="continue"/>
            <w:tcBorders>
              <w:right w:val="single" w:color="auto" w:sz="8" w:space="0"/>
            </w:tcBorders>
            <w:shd w:val="clear" w:color="auto" w:fill="auto"/>
            <w:noWrap w:val="0"/>
            <w:vAlign w:val="bottom"/>
          </w:tcPr>
          <w:p>
            <w:pPr>
              <w:spacing w:line="0" w:lineRule="atLeast"/>
              <w:rPr>
                <w:rFonts w:ascii="Times New Roman" w:hAnsi="Times New Roman" w:eastAsia="Times New Roman"/>
                <w:sz w:val="5"/>
              </w:rPr>
            </w:pPr>
          </w:p>
        </w:tc>
        <w:tc>
          <w:tcPr>
            <w:tcW w:w="900" w:type="dxa"/>
            <w:tcBorders>
              <w:right w:val="single" w:color="auto" w:sz="8" w:space="0"/>
            </w:tcBorders>
            <w:shd w:val="clear" w:color="auto" w:fill="auto"/>
            <w:noWrap w:val="0"/>
            <w:vAlign w:val="bottom"/>
          </w:tcPr>
          <w:p>
            <w:pPr>
              <w:spacing w:line="0" w:lineRule="atLeast"/>
              <w:rPr>
                <w:rFonts w:ascii="Times New Roman" w:hAnsi="Times New Roman" w:eastAsia="Times New Roman"/>
                <w:sz w:val="5"/>
              </w:rPr>
            </w:pPr>
          </w:p>
        </w:tc>
      </w:tr>
      <w:tr>
        <w:tblPrEx>
          <w:tblCellMar>
            <w:top w:w="0" w:type="dxa"/>
            <w:left w:w="0" w:type="dxa"/>
            <w:bottom w:w="0" w:type="dxa"/>
            <w:right w:w="0" w:type="dxa"/>
          </w:tblCellMar>
        </w:tblPrEx>
        <w:trPr>
          <w:trHeight w:val="91" w:hRule="atLeast"/>
        </w:trPr>
        <w:tc>
          <w:tcPr>
            <w:tcW w:w="2360" w:type="dxa"/>
            <w:shd w:val="clear" w:color="auto" w:fill="auto"/>
            <w:noWrap w:val="0"/>
            <w:vAlign w:val="bottom"/>
          </w:tcPr>
          <w:p>
            <w:pPr>
              <w:spacing w:line="0" w:lineRule="atLeast"/>
              <w:rPr>
                <w:rFonts w:ascii="Times New Roman" w:hAnsi="Times New Roman" w:eastAsia="Times New Roman"/>
                <w:sz w:val="7"/>
              </w:rPr>
            </w:pPr>
          </w:p>
        </w:tc>
        <w:tc>
          <w:tcPr>
            <w:tcW w:w="720" w:type="dxa"/>
            <w:shd w:val="clear" w:color="auto" w:fill="auto"/>
            <w:noWrap w:val="0"/>
            <w:vAlign w:val="bottom"/>
          </w:tcPr>
          <w:p>
            <w:pPr>
              <w:spacing w:line="0" w:lineRule="atLeast"/>
              <w:rPr>
                <w:rFonts w:ascii="Times New Roman" w:hAnsi="Times New Roman" w:eastAsia="Times New Roman"/>
                <w:sz w:val="7"/>
              </w:rPr>
            </w:pPr>
          </w:p>
        </w:tc>
        <w:tc>
          <w:tcPr>
            <w:tcW w:w="1100" w:type="dxa"/>
            <w:tcBorders>
              <w:right w:val="single" w:color="auto" w:sz="8" w:space="0"/>
            </w:tcBorders>
            <w:shd w:val="clear" w:color="auto" w:fill="auto"/>
            <w:noWrap w:val="0"/>
            <w:vAlign w:val="bottom"/>
          </w:tcPr>
          <w:p>
            <w:pPr>
              <w:spacing w:line="0" w:lineRule="atLeast"/>
              <w:rPr>
                <w:rFonts w:ascii="Times New Roman" w:hAnsi="Times New Roman" w:eastAsia="Times New Roman"/>
                <w:sz w:val="7"/>
              </w:rPr>
            </w:pPr>
          </w:p>
        </w:tc>
        <w:tc>
          <w:tcPr>
            <w:tcW w:w="900" w:type="dxa"/>
            <w:tcBorders>
              <w:bottom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7"/>
              </w:rPr>
            </w:pPr>
          </w:p>
        </w:tc>
      </w:tr>
      <w:tr>
        <w:tblPrEx>
          <w:tblCellMar>
            <w:top w:w="0" w:type="dxa"/>
            <w:left w:w="0" w:type="dxa"/>
            <w:bottom w:w="0" w:type="dxa"/>
            <w:right w:w="0" w:type="dxa"/>
          </w:tblCellMar>
        </w:tblPrEx>
        <w:trPr>
          <w:trHeight w:val="33" w:hRule="atLeast"/>
        </w:trPr>
        <w:tc>
          <w:tcPr>
            <w:tcW w:w="2360" w:type="dxa"/>
            <w:shd w:val="clear" w:color="auto" w:fill="auto"/>
            <w:noWrap w:val="0"/>
            <w:vAlign w:val="bottom"/>
          </w:tcPr>
          <w:p>
            <w:pPr>
              <w:spacing w:line="0" w:lineRule="atLeast"/>
              <w:rPr>
                <w:rFonts w:ascii="Times New Roman" w:hAnsi="Times New Roman" w:eastAsia="Times New Roman"/>
                <w:sz w:val="2"/>
              </w:rPr>
            </w:pPr>
          </w:p>
        </w:tc>
        <w:tc>
          <w:tcPr>
            <w:tcW w:w="720" w:type="dxa"/>
            <w:shd w:val="clear" w:color="auto" w:fill="auto"/>
            <w:noWrap w:val="0"/>
            <w:vAlign w:val="bottom"/>
          </w:tcPr>
          <w:p>
            <w:pPr>
              <w:spacing w:line="0" w:lineRule="atLeast"/>
              <w:rPr>
                <w:rFonts w:ascii="Times New Roman" w:hAnsi="Times New Roman" w:eastAsia="Times New Roman"/>
                <w:sz w:val="2"/>
              </w:rPr>
            </w:pPr>
          </w:p>
        </w:tc>
        <w:tc>
          <w:tcPr>
            <w:tcW w:w="1100" w:type="dxa"/>
            <w:shd w:val="clear" w:color="auto" w:fill="auto"/>
            <w:noWrap w:val="0"/>
            <w:vAlign w:val="bottom"/>
          </w:tcPr>
          <w:p>
            <w:pPr>
              <w:spacing w:line="0" w:lineRule="atLeast"/>
              <w:rPr>
                <w:rFonts w:ascii="Times New Roman" w:hAnsi="Times New Roman" w:eastAsia="Times New Roman"/>
                <w:sz w:val="2"/>
              </w:rPr>
            </w:pPr>
          </w:p>
        </w:tc>
        <w:tc>
          <w:tcPr>
            <w:tcW w:w="900" w:type="dxa"/>
            <w:shd w:val="clear" w:color="auto" w:fill="auto"/>
            <w:noWrap w:val="0"/>
            <w:vAlign w:val="bottom"/>
          </w:tcPr>
          <w:p>
            <w:pPr>
              <w:spacing w:line="0" w:lineRule="atLeast"/>
              <w:rPr>
                <w:rFonts w:ascii="Times New Roman" w:hAnsi="Times New Roman" w:eastAsia="Times New Roman"/>
                <w:sz w:val="2"/>
              </w:rPr>
            </w:pPr>
          </w:p>
        </w:tc>
      </w:tr>
      <w:tr>
        <w:tblPrEx>
          <w:tblCellMar>
            <w:top w:w="0" w:type="dxa"/>
            <w:left w:w="0" w:type="dxa"/>
            <w:bottom w:w="0" w:type="dxa"/>
            <w:right w:w="0" w:type="dxa"/>
          </w:tblCellMar>
        </w:tblPrEx>
        <w:trPr>
          <w:trHeight w:val="324" w:hRule="atLeast"/>
        </w:trPr>
        <w:tc>
          <w:tcPr>
            <w:tcW w:w="2360" w:type="dxa"/>
            <w:shd w:val="clear" w:color="auto" w:fill="auto"/>
            <w:noWrap w:val="0"/>
            <w:vAlign w:val="bottom"/>
          </w:tcPr>
          <w:p>
            <w:pPr>
              <w:spacing w:line="0" w:lineRule="atLeast"/>
              <w:rPr>
                <w:rFonts w:ascii="Times New Roman" w:hAnsi="Times New Roman" w:eastAsia="Times New Roman"/>
                <w:sz w:val="24"/>
              </w:rPr>
            </w:pPr>
          </w:p>
        </w:tc>
        <w:tc>
          <w:tcPr>
            <w:tcW w:w="720" w:type="dxa"/>
            <w:shd w:val="clear" w:color="auto" w:fill="auto"/>
            <w:noWrap w:val="0"/>
            <w:vAlign w:val="bottom"/>
          </w:tcPr>
          <w:p>
            <w:pPr>
              <w:spacing w:line="206" w:lineRule="exact"/>
              <w:ind w:left="160"/>
              <w:rPr>
                <w:rFonts w:ascii="宋体" w:hAnsi="宋体"/>
                <w:sz w:val="18"/>
              </w:rPr>
            </w:pPr>
            <w:r>
              <w:rPr>
                <w:rFonts w:ascii="宋体" w:hAnsi="宋体"/>
                <w:sz w:val="18"/>
              </w:rPr>
              <w:t>通过</w:t>
            </w:r>
          </w:p>
        </w:tc>
        <w:tc>
          <w:tcPr>
            <w:tcW w:w="1100" w:type="dxa"/>
            <w:shd w:val="clear" w:color="auto" w:fill="auto"/>
            <w:noWrap w:val="0"/>
            <w:vAlign w:val="bottom"/>
          </w:tcPr>
          <w:p>
            <w:pPr>
              <w:spacing w:line="0" w:lineRule="atLeast"/>
              <w:rPr>
                <w:rFonts w:ascii="Times New Roman" w:hAnsi="Times New Roman" w:eastAsia="Times New Roman"/>
                <w:sz w:val="24"/>
              </w:rPr>
            </w:pPr>
          </w:p>
        </w:tc>
        <w:tc>
          <w:tcPr>
            <w:tcW w:w="900" w:type="dxa"/>
            <w:shd w:val="clear" w:color="auto" w:fill="auto"/>
            <w:noWrap w:val="0"/>
            <w:vAlign w:val="bottom"/>
          </w:tcPr>
          <w:p>
            <w:pPr>
              <w:spacing w:line="0" w:lineRule="atLeast"/>
              <w:rPr>
                <w:rFonts w:ascii="Times New Roman" w:hAnsi="Times New Roman" w:eastAsia="Times New Roman"/>
                <w:sz w:val="24"/>
              </w:rPr>
            </w:pPr>
          </w:p>
        </w:tc>
      </w:tr>
      <w:tr>
        <w:tblPrEx>
          <w:tblCellMar>
            <w:top w:w="0" w:type="dxa"/>
            <w:left w:w="0" w:type="dxa"/>
            <w:bottom w:w="0" w:type="dxa"/>
            <w:right w:w="0" w:type="dxa"/>
          </w:tblCellMar>
        </w:tblPrEx>
        <w:trPr>
          <w:trHeight w:val="144" w:hRule="atLeast"/>
        </w:trPr>
        <w:tc>
          <w:tcPr>
            <w:tcW w:w="2360" w:type="dxa"/>
            <w:shd w:val="clear" w:color="auto" w:fill="auto"/>
            <w:noWrap w:val="0"/>
            <w:vAlign w:val="bottom"/>
          </w:tcPr>
          <w:p>
            <w:pPr>
              <w:spacing w:line="0" w:lineRule="atLeast"/>
              <w:rPr>
                <w:rFonts w:ascii="Times New Roman" w:hAnsi="Times New Roman" w:eastAsia="Times New Roman"/>
                <w:sz w:val="12"/>
              </w:rPr>
            </w:pPr>
          </w:p>
        </w:tc>
        <w:tc>
          <w:tcPr>
            <w:tcW w:w="720" w:type="dxa"/>
            <w:shd w:val="clear" w:color="auto" w:fill="auto"/>
            <w:noWrap w:val="0"/>
            <w:vAlign w:val="bottom"/>
          </w:tcPr>
          <w:p>
            <w:pPr>
              <w:spacing w:line="0" w:lineRule="atLeast"/>
              <w:rPr>
                <w:rFonts w:ascii="Times New Roman" w:hAnsi="Times New Roman" w:eastAsia="Times New Roman"/>
                <w:sz w:val="12"/>
              </w:rPr>
            </w:pPr>
          </w:p>
        </w:tc>
        <w:tc>
          <w:tcPr>
            <w:tcW w:w="1100" w:type="dxa"/>
            <w:shd w:val="clear" w:color="auto" w:fill="auto"/>
            <w:noWrap w:val="0"/>
            <w:vAlign w:val="bottom"/>
          </w:tcPr>
          <w:p>
            <w:pPr>
              <w:spacing w:line="0" w:lineRule="atLeast"/>
              <w:rPr>
                <w:rFonts w:ascii="Times New Roman" w:hAnsi="Times New Roman" w:eastAsia="Times New Roman"/>
                <w:sz w:val="12"/>
              </w:rPr>
            </w:pPr>
          </w:p>
        </w:tc>
        <w:tc>
          <w:tcPr>
            <w:tcW w:w="900" w:type="dxa"/>
            <w:shd w:val="clear" w:color="auto" w:fill="auto"/>
            <w:noWrap w:val="0"/>
            <w:vAlign w:val="bottom"/>
          </w:tcPr>
          <w:p>
            <w:pPr>
              <w:spacing w:line="0" w:lineRule="atLeast"/>
              <w:rPr>
                <w:rFonts w:ascii="Times New Roman" w:hAnsi="Times New Roman" w:eastAsia="Times New Roman"/>
                <w:sz w:val="12"/>
              </w:rPr>
            </w:pPr>
          </w:p>
        </w:tc>
      </w:tr>
      <w:tr>
        <w:tblPrEx>
          <w:tblCellMar>
            <w:top w:w="0" w:type="dxa"/>
            <w:left w:w="0" w:type="dxa"/>
            <w:bottom w:w="0" w:type="dxa"/>
            <w:right w:w="0" w:type="dxa"/>
          </w:tblCellMar>
        </w:tblPrEx>
        <w:trPr>
          <w:trHeight w:val="700" w:hRule="atLeast"/>
        </w:trPr>
        <w:tc>
          <w:tcPr>
            <w:tcW w:w="3080" w:type="dxa"/>
            <w:gridSpan w:val="2"/>
            <w:shd w:val="clear" w:color="auto" w:fill="auto"/>
            <w:noWrap w:val="0"/>
            <w:vAlign w:val="bottom"/>
          </w:tcPr>
          <w:p>
            <w:pPr>
              <w:spacing w:line="242" w:lineRule="exact"/>
              <w:ind w:right="430"/>
              <w:jc w:val="center"/>
              <w:rPr>
                <w:rFonts w:ascii="宋体" w:hAnsi="宋体"/>
                <w:sz w:val="18"/>
              </w:rPr>
            </w:pPr>
            <w:r>
              <w:rPr>
                <w:rFonts w:ascii="Times New Roman" w:hAnsi="Times New Roman" w:eastAsia="Times New Roman"/>
                <w:sz w:val="21"/>
              </w:rPr>
              <w:t xml:space="preserve">10 . </w:t>
            </w:r>
            <w:r>
              <w:rPr>
                <w:rFonts w:ascii="宋体" w:hAnsi="宋体"/>
                <w:sz w:val="18"/>
              </w:rPr>
              <w:t>根据中心工程结算办法结算</w:t>
            </w:r>
          </w:p>
        </w:tc>
        <w:tc>
          <w:tcPr>
            <w:tcW w:w="1100" w:type="dxa"/>
            <w:shd w:val="clear" w:color="auto" w:fill="auto"/>
            <w:noWrap w:val="0"/>
            <w:vAlign w:val="bottom"/>
          </w:tcPr>
          <w:p>
            <w:pPr>
              <w:spacing w:line="0" w:lineRule="atLeast"/>
              <w:rPr>
                <w:rFonts w:ascii="Times New Roman" w:hAnsi="Times New Roman" w:eastAsia="Times New Roman"/>
                <w:sz w:val="24"/>
              </w:rPr>
            </w:pPr>
          </w:p>
        </w:tc>
        <w:tc>
          <w:tcPr>
            <w:tcW w:w="900" w:type="dxa"/>
            <w:shd w:val="clear" w:color="auto" w:fill="auto"/>
            <w:noWrap w:val="0"/>
            <w:vAlign w:val="bottom"/>
          </w:tcPr>
          <w:p>
            <w:pPr>
              <w:spacing w:line="0" w:lineRule="atLeast"/>
              <w:rPr>
                <w:rFonts w:ascii="Times New Roman" w:hAnsi="Times New Roman" w:eastAsia="Times New Roman"/>
                <w:sz w:val="24"/>
              </w:rPr>
            </w:pPr>
          </w:p>
        </w:tc>
      </w:tr>
    </w:tbl>
    <w:p>
      <w:pPr>
        <w:rPr>
          <w:rFonts w:ascii="Times New Roman" w:hAnsi="Times New Roman" w:eastAsia="Times New Roman"/>
          <w:sz w:val="24"/>
        </w:rPr>
        <w:sectPr>
          <w:footerReference r:id="rId3" w:type="default"/>
          <w:pgSz w:w="11900" w:h="16838"/>
          <w:pgMar w:top="1213" w:right="1179" w:bottom="1157" w:left="1179" w:header="0" w:footer="0" w:gutter="0"/>
          <w:cols w:equalWidth="0" w:num="1">
            <w:col w:w="9660"/>
          </w:cols>
          <w:rtlGutter w:val="0"/>
          <w:docGrid w:linePitch="360" w:charSpace="0"/>
        </w:sectPr>
      </w:pPr>
      <w:bookmarkStart w:id="0" w:name="_GoBack"/>
      <w:bookmarkEnd w:id="0"/>
    </w:p>
    <w:p>
      <w:pPr>
        <w:jc w:val="both"/>
        <w:rPr>
          <w:rFonts w:hint="default" w:ascii="宋体" w:hAnsi="宋体"/>
          <w:b/>
          <w:sz w:val="36"/>
          <w:szCs w:val="36"/>
          <w:lang w:val="en-US" w:eastAsia="zh-CN"/>
        </w:rPr>
      </w:pPr>
    </w:p>
    <w:sectPr>
      <w:footerReference r:id="rId4" w:type="default"/>
      <w:pgSz w:w="11906" w:h="16838"/>
      <w:pgMar w:top="1213" w:right="1179" w:bottom="1157" w:left="117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32"/>
    <w:multiLevelType w:val="multilevel"/>
    <w:tmpl w:val="00000032"/>
    <w:lvl w:ilvl="0" w:tentative="0">
      <w:start w:val="3"/>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
    <w:nsid w:val="00000033"/>
    <w:multiLevelType w:val="multilevel"/>
    <w:tmpl w:val="00000033"/>
    <w:lvl w:ilvl="0" w:tentative="0">
      <w:start w:val="5"/>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2">
    <w:nsid w:val="00000034"/>
    <w:multiLevelType w:val="multilevel"/>
    <w:tmpl w:val="00000034"/>
    <w:lvl w:ilvl="0" w:tentative="0">
      <w:start w:val="7"/>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iYTBhNDYwZmUyNzJiNjJjMDVkZjljMWRiMzdjOTUifQ=="/>
  </w:docVars>
  <w:rsids>
    <w:rsidRoot w:val="00000000"/>
    <w:rsid w:val="00F036C9"/>
    <w:rsid w:val="03970337"/>
    <w:rsid w:val="05BB1AB7"/>
    <w:rsid w:val="0A9E1CFC"/>
    <w:rsid w:val="0D7116ED"/>
    <w:rsid w:val="0E3335AB"/>
    <w:rsid w:val="0F5A5BA1"/>
    <w:rsid w:val="12977E48"/>
    <w:rsid w:val="15AA210D"/>
    <w:rsid w:val="18514BD8"/>
    <w:rsid w:val="18604B97"/>
    <w:rsid w:val="19F40867"/>
    <w:rsid w:val="1DD12A18"/>
    <w:rsid w:val="1EFC720E"/>
    <w:rsid w:val="211D3C0E"/>
    <w:rsid w:val="24E444AE"/>
    <w:rsid w:val="27C272BD"/>
    <w:rsid w:val="2A375D41"/>
    <w:rsid w:val="2F5732AD"/>
    <w:rsid w:val="34E109D0"/>
    <w:rsid w:val="353C6EB6"/>
    <w:rsid w:val="3BE40B8A"/>
    <w:rsid w:val="3D5E4F3B"/>
    <w:rsid w:val="405B0620"/>
    <w:rsid w:val="4324664C"/>
    <w:rsid w:val="46395ECF"/>
    <w:rsid w:val="467C6395"/>
    <w:rsid w:val="4B92472D"/>
    <w:rsid w:val="4CF47705"/>
    <w:rsid w:val="56442CBE"/>
    <w:rsid w:val="57000DA9"/>
    <w:rsid w:val="587F3CE6"/>
    <w:rsid w:val="62D809D6"/>
    <w:rsid w:val="656727BE"/>
    <w:rsid w:val="68D84F52"/>
    <w:rsid w:val="69FF7046"/>
    <w:rsid w:val="6B1333C2"/>
    <w:rsid w:val="6C9E3A12"/>
    <w:rsid w:val="701D21C5"/>
    <w:rsid w:val="79F0693F"/>
    <w:rsid w:val="7C62446E"/>
    <w:rsid w:val="7CAA1027"/>
    <w:rsid w:val="7D9705C9"/>
    <w:rsid w:val="7F463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4776</Words>
  <Characters>4810</Characters>
  <Lines>0</Lines>
  <Paragraphs>0</Paragraphs>
  <TotalTime>0</TotalTime>
  <ScaleCrop>false</ScaleCrop>
  <LinksUpToDate>false</LinksUpToDate>
  <CharactersWithSpaces>4829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2023-05-04T08:44:00Z</dcterms:created>
  <dc:creator>CT</dc:creator>
  <cp:lastModifiedBy>CT</cp:lastModifiedBy>
  <dcterms:modified xsi:type="dcterms:W3CDTF">2023-05-06T03:14:54Z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CDDDC4049F6E45B08EA66C97F0976F04_12</vt:lpwstr>
  </property>
</Properties>
</file>